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27" w:leader="none"/>
        </w:tabs>
        <w:ind w:left="0" w:right="0" w:hanging="0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8"/>
          <w:szCs w:val="28"/>
          <w:highlight w:val="white"/>
          <w:lang w:val="uk-UA"/>
        </w:rPr>
        <w:t>Додаток 1</w:t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A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00000A"/>
          <w:sz w:val="28"/>
          <w:szCs w:val="28"/>
          <w:highlight w:val="white"/>
          <w:lang w:val="uk-UA"/>
        </w:rPr>
        <w:t>Інформація про кількість рядків у відомостях щомісячного поновлення</w:t>
      </w:r>
    </w:p>
    <w:p>
      <w:pPr>
        <w:pStyle w:val="Style28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 w:val="false"/>
          <w:b w:val="false"/>
          <w:bCs w:val="false"/>
          <w:color w:val="00000A"/>
          <w:sz w:val="26"/>
          <w:szCs w:val="26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00000A"/>
          <w:sz w:val="26"/>
          <w:szCs w:val="26"/>
          <w:highlight w:val="white"/>
          <w:lang w:val="uk-UA"/>
        </w:rPr>
      </w:r>
    </w:p>
    <w:tbl>
      <w:tblPr>
        <w:tblW w:w="9870" w:type="dxa"/>
        <w:jc w:val="left"/>
        <w:tblInd w:w="-254" w:type="dxa"/>
        <w:tblLayout w:type="fixed"/>
        <w:tblCellMar>
          <w:top w:w="55" w:type="dxa"/>
          <w:left w:w="22" w:type="dxa"/>
          <w:bottom w:w="55" w:type="dxa"/>
          <w:right w:w="55" w:type="dxa"/>
        </w:tblCellMar>
      </w:tblPr>
      <w:tblGrid>
        <w:gridCol w:w="2445"/>
        <w:gridCol w:w="5421"/>
        <w:gridCol w:w="3"/>
        <w:gridCol w:w="2001"/>
      </w:tblGrid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0" w:right="0" w:hanging="0"/>
              <w:jc w:val="left"/>
              <w:rPr/>
            </w:pPr>
            <w:bookmarkStart w:id="0" w:name="__DdeLink__2678_2219782697"/>
            <w:bookmarkEnd w:id="0"/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№1 Управління Державної міграційної служби України у Волинській області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>0</w:t>
            </w:r>
          </w:p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>(подано засобами АІТС)</w:t>
            </w:r>
          </w:p>
        </w:tc>
      </w:tr>
      <w:tr>
        <w:trPr/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/>
              </w:rPr>
              <w:t xml:space="preserve">2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912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u w:val="none"/>
                <w:lang w:val="uk-UA" w:eastAsia="zxx" w:bidi="zxx"/>
              </w:rPr>
              <w:t>154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u w:val="non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  <w:t>засобами АІТС)</w:t>
            </w:r>
          </w:p>
        </w:tc>
      </w:tr>
      <w:tr>
        <w:trPr>
          <w:trHeight w:val="932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177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bookmarkStart w:id="1" w:name="__DdeLink__1169_4220175427"/>
            <w:bookmarkStart w:id="2" w:name="__DdeLink__1250_1253642994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л</w:t>
            </w:r>
            <w:bookmarkEnd w:id="1"/>
            <w:bookmarkEnd w:id="2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истопада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u w:val="none"/>
                <w:lang w:val="uk-UA" w:eastAsia="zxx" w:bidi="zxx"/>
              </w:rPr>
              <w:t>130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u w:val="non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u w:val="non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5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884" w:hRule="atLeast"/>
        </w:trPr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ind w:left="0" w:right="0" w:hanging="0"/>
              <w:jc w:val="left"/>
              <w:rPr>
                <w:color w:val="00000A"/>
              </w:rPr>
            </w:pP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Луцький відділ №2 Управління Державної міграційної служби України у Волинській області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616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60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13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15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bookmarkStart w:id="3" w:name="__DdeLink__1169_42201754271"/>
            <w:bookmarkStart w:id="4" w:name="__DdeLink__1250_12536429941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л</w:t>
            </w:r>
            <w:bookmarkEnd w:id="3"/>
            <w:bookmarkEnd w:id="4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истопада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5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900" w:hRule="atLeast"/>
        </w:trPr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A"/>
              </w:rPr>
            </w:pP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>Рожищенський відділ Управління Державної міграційної служби України у Волинській області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587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23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</w:t>
            </w:r>
          </w:p>
        </w:tc>
      </w:tr>
      <w:tr>
        <w:trPr>
          <w:trHeight w:val="895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громадян України, зареєстрованих за місцем проживання у відповідній адміністративно-територіальній одиниці, яким протягом </w:t>
            </w:r>
            <w:bookmarkStart w:id="5" w:name="__DdeLink__1169_42201754272"/>
            <w:bookmarkStart w:id="6" w:name="__DdeLink__1250_12536429942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л</w:t>
            </w:r>
            <w:bookmarkEnd w:id="5"/>
            <w:bookmarkEnd w:id="6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истопада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2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64" w:hRule="atLeast"/>
        </w:trPr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color w:val="00000A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tcMar>
              <w:left w:w="34" w:type="dxa"/>
            </w:tcMar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tcMar>
              <w:left w:w="34" w:type="dxa"/>
            </w:tcMar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735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 xml:space="preserve">0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60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975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A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bookmarkStart w:id="7" w:name="__DdeLink__1169_42201754273"/>
            <w:bookmarkStart w:id="8" w:name="__DdeLink__1250_12536429943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л</w:t>
            </w:r>
            <w:bookmarkEnd w:id="7"/>
            <w:bookmarkEnd w:id="8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истопада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13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1206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6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</w:rPr>
              <w:t xml:space="preserve"> років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/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tLeast" w:line="240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 xml:space="preserve"> Луцької міської ради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bookmarkStart w:id="9" w:name="__DdeLink__1221_2682262711"/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/>
              </w:rPr>
              <w:t xml:space="preserve"> </w:t>
            </w:r>
            <w:bookmarkStart w:id="10" w:name="__DdeLink__1169_42201754274"/>
            <w:bookmarkStart w:id="11" w:name="__DdeLink__1250_12536429944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>л</w:t>
            </w:r>
            <w:bookmarkEnd w:id="10"/>
            <w:bookmarkEnd w:id="11"/>
            <w:r>
              <w:rPr>
                <w:rFonts w:eastAsia="Courier New" w:cs="Courier New"/>
                <w:b w:val="false"/>
                <w:bCs w:val="false"/>
                <w:i/>
                <w:iCs/>
                <w:color w:val="00000A"/>
                <w:sz w:val="24"/>
                <w:szCs w:val="24"/>
                <w:lang w:val="uk-UA" w:eastAsia="zxx" w:bidi="zxx"/>
              </w:rPr>
              <w:t xml:space="preserve">истопада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лось</w:t>
            </w:r>
            <w:bookmarkEnd w:id="9"/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18 років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151</w:t>
            </w:r>
          </w:p>
        </w:tc>
      </w:tr>
      <w:tr>
        <w:trPr/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472</w:t>
            </w:r>
          </w:p>
        </w:tc>
      </w:tr>
      <w:tr>
        <w:trPr>
          <w:trHeight w:val="954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715</w:t>
            </w:r>
          </w:p>
        </w:tc>
      </w:tr>
      <w:tr>
        <w:trPr>
          <w:trHeight w:val="938" w:hRule="atLeast"/>
        </w:trPr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</w:rPr>
              <w:t xml:space="preserve">МінЮст (ДРАЦС) </w:t>
            </w:r>
            <w:r>
              <w:rPr>
                <w:color w:val="00000A"/>
                <w:sz w:val="18"/>
                <w:szCs w:val="18"/>
              </w:rPr>
              <w:t>(</w:t>
            </w:r>
            <w:r>
              <w:rPr>
                <w:caps w:val="false"/>
                <w:smallCaps w:val="false"/>
                <w:color w:val="00000A"/>
                <w:spacing w:val="0"/>
                <w:sz w:val="18"/>
                <w:szCs w:val="18"/>
              </w:rPr>
              <w:t>в</w:t>
            </w:r>
            <w:r>
              <w:rPr>
                <w:b w:val="false"/>
                <w:i w:val="false"/>
                <w:caps w:val="false"/>
                <w:smallCaps w:val="false"/>
                <w:color w:val="00000A"/>
                <w:spacing w:val="0"/>
                <w:sz w:val="18"/>
                <w:szCs w:val="18"/>
              </w:rPr>
              <w:t>заємодія із Державним реєстром актів цивільного стану на центральному рівні в електронному вигляді</w:t>
            </w:r>
            <w:r>
              <w:rPr>
                <w:rFonts w:ascii="Open Sans;Helvetica Neue;Helvetica;Arial;sans-serif" w:hAnsi="Open Sans;Helvetica Neue;Helvetica;Arial;sans-serif"/>
                <w:b w:val="false"/>
                <w:i w:val="false"/>
                <w:caps w:val="false"/>
                <w:smallCaps w:val="false"/>
                <w:color w:val="00000A"/>
                <w:spacing w:val="0"/>
                <w:sz w:val="18"/>
                <w:szCs w:val="18"/>
              </w:rPr>
              <w:t>)</w:t>
            </w:r>
            <w:r>
              <w:rPr>
                <w:color w:val="00000A"/>
                <w:sz w:val="18"/>
                <w:szCs w:val="18"/>
              </w:rPr>
              <w:t xml:space="preserve"> 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виборців, смерть яких зареєстровано протягом попереднього </w:t>
            </w:r>
            <w:r>
              <w:rPr>
                <w:rFonts w:eastAsia="Arial Unicode MS" w:cs="Tahoma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дня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color w:val="00000A"/>
                <w:lang w:val="en-US"/>
              </w:rPr>
              <w:t>356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1144" w:hRule="atLeast"/>
        </w:trPr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1141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925" w:hRule="atLeast"/>
        </w:trPr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А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en-US"/>
              </w:rPr>
              <w:t>0959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>
          <w:trHeight w:val="949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11</w:t>
            </w:r>
          </w:p>
        </w:tc>
      </w:tr>
      <w:tr>
        <w:trPr>
          <w:trHeight w:val="653" w:hRule="atLeast"/>
        </w:trPr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uk-UA"/>
              </w:rPr>
              <w:t>прибули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</w:p>
        </w:tc>
      </w:tr>
      <w:tr>
        <w:trPr/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1</w:t>
            </w:r>
          </w:p>
        </w:tc>
      </w:tr>
      <w:tr>
        <w:trPr/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1"/>
              <w:widowControl w:val="false"/>
              <w:snapToGrid w:val="false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4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1"/>
              <w:widowControl w:val="false"/>
              <w:jc w:val="left"/>
              <w:rPr>
                <w:color w:val="00000A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00000A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A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>
          <w:trHeight w:val="388" w:hRule="atLeast"/>
        </w:trPr>
        <w:tc>
          <w:tcPr>
            <w:tcW w:w="244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A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  <w:p>
            <w:pPr>
              <w:pStyle w:val="Normal"/>
              <w:widowControl w:val="false"/>
              <w:suppressLineNumbers/>
              <w:ind w:left="0" w:right="0" w:hanging="0"/>
              <w:jc w:val="center"/>
              <w:rPr>
                <w:sz w:val="21"/>
                <w:szCs w:val="21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0"/>
                <w:szCs w:val="20"/>
                <w:highlight w:val="white"/>
                <w:lang w:val="uk-UA" w:eastAsia="zxx" w:bidi="zxx"/>
              </w:rPr>
              <w:t xml:space="preserve">(подано </w:t>
            </w:r>
            <w:r>
              <w:rPr>
                <w:rFonts w:eastAsia="Courier New" w:cs="Courier New"/>
                <w:b w:val="false"/>
                <w:bCs w:val="false"/>
                <w:color w:val="00000A"/>
                <w:sz w:val="21"/>
                <w:szCs w:val="21"/>
                <w:highlight w:val="white"/>
                <w:lang w:val="uk-UA" w:eastAsia="zxx" w:bidi="zxx"/>
              </w:rPr>
              <w:t>засобами АІТС)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Територіальний центр </w:t>
            </w:r>
            <w:r>
              <w:rPr>
                <w:b w:val="false"/>
                <w:bCs w:val="false"/>
                <w:color w:val="00000A"/>
                <w:sz w:val="24"/>
                <w:szCs w:val="24"/>
                <w:lang w:val="en-US"/>
              </w:rPr>
              <w:t>соціального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обслуговування (надання соціальних послуг) м.Луцька 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54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20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rFonts w:eastAsia="Courier New" w:cs="Courier New"/>
                <w:b w:val="false"/>
                <w:bCs w:val="false"/>
                <w:color w:val="00000A"/>
                <w:sz w:val="24"/>
                <w:szCs w:val="24"/>
                <w:u w:val="none"/>
                <w:lang w:val="uk-UA" w:eastAsia="zxx" w:bidi="zxx"/>
              </w:rPr>
              <w:t>15</w:t>
            </w:r>
          </w:p>
        </w:tc>
      </w:tr>
      <w:tr>
        <w:trPr>
          <w:trHeight w:val="583" w:hRule="atLeast"/>
        </w:trPr>
        <w:tc>
          <w:tcPr>
            <w:tcW w:w="786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A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2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suppressLineNumbers/>
              <w:ind w:left="0" w:right="0" w:hanging="0"/>
              <w:jc w:val="center"/>
              <w:rPr>
                <w:color w:val="00000A"/>
              </w:rPr>
            </w:pPr>
            <w:r>
              <w:rPr>
                <w:b/>
                <w:bCs/>
                <w:color w:val="00000A"/>
                <w:lang w:val="uk-UA"/>
              </w:rPr>
              <w:t>2048</w:t>
            </w:r>
          </w:p>
        </w:tc>
      </w:tr>
    </w:tbl>
    <w:p>
      <w:pPr>
        <w:pStyle w:val="Normal"/>
        <w:pageBreakBefore w:val="false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>
          <w:color w:val="00000A"/>
        </w:rPr>
      </w:pPr>
      <w:r>
        <w:rPr>
          <w:color w:val="00000A"/>
        </w:rPr>
      </w:r>
      <w:r>
        <w:br w:type="page"/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color w:val="00000A"/>
          <w:sz w:val="28"/>
          <w:szCs w:val="28"/>
        </w:rPr>
        <w:t>Додаток 2</w:t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/>
      </w:pPr>
      <w:hyperlink r:id="rId2">
        <w:r>
          <w:rPr>
            <w:b/>
            <w:bCs/>
            <w:i w:val="false"/>
            <w:caps w:val="false"/>
            <w:smallCaps w:val="false"/>
            <w:color w:val="00000A"/>
            <w:spacing w:val="0"/>
            <w:sz w:val="28"/>
            <w:szCs w:val="28"/>
            <w:u w:val="single"/>
          </w:rPr>
          <w:t xml:space="preserve">Оцінка стану справ та роботи </w:t>
        </w:r>
      </w:hyperlink>
      <w:r>
        <w:rPr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single"/>
        </w:rPr>
        <w:t xml:space="preserve"> відділу у листопаді 2021 року</w:t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b/>
          <w:b/>
          <w:bCs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single"/>
        </w:rPr>
      </w:pPr>
      <w:r>
        <w:rPr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single"/>
        </w:rPr>
      </w:r>
    </w:p>
    <w:tbl>
      <w:tblPr>
        <w:tblW w:w="9645" w:type="dxa"/>
        <w:jc w:val="left"/>
        <w:tblInd w:w="-30" w:type="dxa"/>
        <w:tblLayout w:type="fixed"/>
        <w:tblCellMar>
          <w:top w:w="28" w:type="dxa"/>
          <w:left w:w="0" w:type="dxa"/>
          <w:bottom w:w="28" w:type="dxa"/>
          <w:right w:w="23" w:type="dxa"/>
        </w:tblCellMar>
      </w:tblPr>
      <w:tblGrid>
        <w:gridCol w:w="8280"/>
        <w:gridCol w:w="1364"/>
      </w:tblGrid>
      <w:tr>
        <w:trPr>
          <w:tblHeader w:val="true"/>
        </w:trPr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ind w:left="60" w:right="0" w:hanging="0"/>
              <w:jc w:val="center"/>
              <w:rPr/>
            </w:pPr>
            <w:hyperlink r:id="rId3">
              <w:r>
                <w:rPr>
                  <w:strike w:val="false"/>
                  <w:dstrike w:val="false"/>
                  <w:color w:val="00000A"/>
                  <w:sz w:val="28"/>
                  <w:szCs w:val="28"/>
                  <w:u w:val="none"/>
                  <w:effect w:val="none"/>
                </w:rPr>
                <w:t>Назва показника</w:t>
              </w:r>
            </w:hyperlink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7"/>
              <w:widowControl w:val="false"/>
              <w:jc w:val="center"/>
              <w:rPr/>
            </w:pPr>
            <w:hyperlink r:id="rId4">
              <w:r>
                <w:rPr>
                  <w:strike w:val="false"/>
                  <w:dstrike w:val="false"/>
                  <w:color w:val="00000A"/>
                  <w:sz w:val="28"/>
                  <w:szCs w:val="28"/>
                  <w:u w:val="none"/>
                  <w:effect w:val="none"/>
                </w:rPr>
                <w:t>Балів</w:t>
              </w:r>
            </w:hyperlink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Виконання контрольних тестувань (попередній місяць)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Виконання протоколу випробувань за позиціями 03.04, 03.05, 03.06 (кондиціонер, пожежна сигналізація, охоронна сигналізація)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Виконання робіт по КСЗІ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Включення (виключення) записів про не громадян України до Реєстру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Досвід та плинність кадрів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10,666667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Забезпечення коректності уточнених списків виборців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Забезпечення щоденної роботи в АІТС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КСЗІ - виконання протоколу випробувань ОВР (крім позицій 03.04, 03.05, 03.06), встановлення антивірусного ПЗ на робочих станціях відділу ведення, наявність визначеного адміністратора безпеки.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Навмисне створення дійсних кратних включень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Невчасне завантаження відомостей ПП (попередній період поновлення)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Некоректні дії щодо ведення Реєстру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Неопрацьовані виборці, які вибули з установ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Оперативність виконання доручення/Оперативність внесення змін до Реєстру/ Оперативність опрацювання висновків відомостей ПП (попередній період поновлення)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8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Опрацювання списків виборців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Результат за тестом OpenOffice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Результат тестування за тестом "Нормативно-правові акти"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Результат тестування за тестом Операційна система Microsoft Windows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Результат тестування за тестом "Робота в АІТС"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Створення відділом ведення кратних включень, що виявлені протягом періоду розрахунку (незалежно від дати їх створення)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Тест для керівників та адміністраторів безпеки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Утримання кратників без висновку &gt;21 дня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8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Щоденне ознайомлення з повідомленнями на порталі/Ефективність використання сайту portal.drv.gov.ua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e26"/>
              <w:widowControl w:val="false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12</w:t>
            </w:r>
          </w:p>
        </w:tc>
      </w:tr>
    </w:tbl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b/>
          <w:b/>
          <w:bCs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u w:val="single"/>
        </w:rPr>
      </w:pPr>
      <w:r>
        <w:rPr>
          <w:b/>
          <w:bCs/>
          <w:i w:val="false"/>
          <w:caps w:val="false"/>
          <w:smallCaps w:val="false"/>
          <w:color w:val="00000A"/>
          <w:spacing w:val="0"/>
          <w:sz w:val="28"/>
          <w:szCs w:val="28"/>
          <w:u w:val="single"/>
        </w:rPr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/>
      </w:r>
    </w:p>
    <w:sectPr>
      <w:type w:val="nextPage"/>
      <w:pgSz w:w="11906" w:h="16838"/>
      <w:pgMar w:left="1701" w:right="567" w:gutter="0" w:header="0" w:top="567" w:footer="0" w:bottom="209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swiss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Open Sans">
    <w:altName w:val="Helvetica Neue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rial Unicode MS" w:cs="Tahoma"/>
      <w:color w:val="00000A"/>
      <w:kern w:val="0"/>
      <w:sz w:val="24"/>
      <w:szCs w:val="24"/>
      <w:lang w:val="uk-UA" w:eastAsia="zxx" w:bidi="zxx"/>
    </w:rPr>
  </w:style>
  <w:style w:type="paragraph" w:styleId="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Style19"/>
    <w:next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rial Unicode MS" w:cs="Tahoma"/>
      <w:color w:val="00000A"/>
      <w:sz w:val="24"/>
      <w:szCs w:val="24"/>
      <w:lang w:val="ru-RU" w:eastAsia="zxx" w:bidi="zxx"/>
    </w:rPr>
  </w:style>
  <w:style w:type="paragraph" w:styleId="4">
    <w:name w:val="Heading 4"/>
    <w:basedOn w:val="Style19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Standardschriftart">
    <w:name w:val="Absatz-Standardschriftart"/>
    <w:qFormat/>
    <w:rPr/>
  </w:style>
  <w:style w:type="character" w:styleId="Style11">
    <w:name w:val="Виділення жирним"/>
    <w:qFormat/>
    <w:rPr>
      <w:b/>
      <w:bCs/>
    </w:rPr>
  </w:style>
  <w:style w:type="character" w:styleId="Style12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yle13">
    <w:name w:val="Виділення"/>
    <w:qFormat/>
    <w:rPr>
      <w:i/>
      <w:iCs/>
    </w:rPr>
  </w:style>
  <w:style w:type="character" w:styleId="Style14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Гіперпосилання"/>
    <w:qFormat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ontStyle18">
    <w:name w:val="Font Style18"/>
    <w:basedOn w:val="Style17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character" w:styleId="Style18">
    <w:name w:val="Интернет-ссылка"/>
    <w:qFormat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Tahoma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19"/>
    <w:qFormat/>
    <w:pPr/>
    <w:rPr/>
  </w:style>
  <w:style w:type="paragraph" w:styleId="Style25">
    <w:name w:val="Subtitle"/>
    <w:basedOn w:val="Style19"/>
    <w:qFormat/>
    <w:pPr>
      <w:jc w:val="center"/>
    </w:pPr>
    <w:rPr>
      <w:i/>
      <w:iCs/>
      <w:sz w:val="28"/>
      <w:szCs w:val="28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Style30">
    <w:name w:val="Footer"/>
    <w:basedOn w:val="Style29"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StyleNormal">
    <w:name w:val="StyleNormal"/>
    <w:qFormat/>
    <w:pPr>
      <w:widowControl/>
      <w:suppressAutoHyphens w:val="true"/>
      <w:overflowPunct w:val="true"/>
      <w:bidi w:val="0"/>
      <w:spacing w:lineRule="exact" w:line="22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zh-CN" w:bidi="ar-SA"/>
    </w:rPr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>
      <w:bCs w:val="false"/>
      <w:sz w:val="24"/>
    </w:rPr>
  </w:style>
  <w:style w:type="paragraph" w:styleId="Style33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34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35">
    <w:name w:val="Header"/>
    <w:basedOn w:val="Style29"/>
    <w:pPr>
      <w:suppressLineNumbers/>
      <w:tabs>
        <w:tab w:val="center" w:pos="4702" w:leader="none"/>
        <w:tab w:val="center" w:pos="4819" w:leader="none"/>
        <w:tab w:val="right" w:pos="9405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its.drv.gov.ua/ords/aits/f?p=100:75:2426046297824::NO:::" TargetMode="External"/><Relationship Id="rId3" Type="http://schemas.openxmlformats.org/officeDocument/2006/relationships/hyperlink" Target="javascript:apex.widget.report.sort(&apos;13458632054297622&apos;,&apos;&apos;,&apos;fsp_sort_1_desc&apos;)" TargetMode="External"/><Relationship Id="rId4" Type="http://schemas.openxmlformats.org/officeDocument/2006/relationships/hyperlink" Target="javascript:apex.widget.report.sort(&apos;13458632054297622&apos;,&apos;&apos;,&apos;fsp_sort_3&apos;)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4771</TotalTime>
  <Application>LibreOffice/7.2.4.1$Windows_X86_64 LibreOffice_project/27d75539669ac387bb498e35313b970b7fe9c4f9</Application>
  <AppVersion>15.0000</AppVersion>
  <Pages>15</Pages>
  <Words>2418</Words>
  <Characters>16340</Characters>
  <CharactersWithSpaces>18826</CharactersWithSpaces>
  <Paragraphs>348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2020-11-05T15:11:16Z</dcterms:created>
  <dc:creator/>
  <dc:description/>
  <dc:language>uk-UA</dc:language>
  <cp:lastModifiedBy/>
  <cp:lastPrinted>2021-12-15T10:10:19Z</cp:lastPrinted>
  <dcterms:modified xsi:type="dcterms:W3CDTF">2021-12-16T12:59:45Z</dcterms:modified>
  <cp:revision>531</cp:revision>
  <dc:subject/>
  <dc:title/>
</cp:coreProperties>
</file>