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6"/>
        <w:spacing w:before="240" w:after="240"/>
        <w:rPr>
          <w:rFonts w:ascii="Times New Roman" w:hAnsi="Times New Roman"/>
          <w:sz w:val="22"/>
          <w:szCs w:val="22"/>
        </w:rPr>
      </w:pPr>
      <w:r>
        <w:rPr>
          <w:rFonts w:ascii="Times New Roman" w:hAnsi="Times New Roman"/>
          <w:sz w:val="22"/>
          <w:szCs w:val="22"/>
        </w:rPr>
        <w:t>ТИПОВИЙ ІНДИВІДУАЛЬНИЙ ДОГОВІР</w:t>
        <w:br/>
        <w:t>про надання послуг з поводження з побутовими відходами</w:t>
      </w:r>
    </w:p>
    <w:tbl>
      <w:tblPr>
        <w:tblStyle w:val="11"/>
        <w:tblW w:w="107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27"/>
        <w:gridCol w:w="5812"/>
      </w:tblGrid>
      <w:tr>
        <w:trPr/>
        <w:tc>
          <w:tcPr>
            <w:tcW w:w="4927" w:type="dxa"/>
            <w:tcBorders>
              <w:top w:val="nil"/>
              <w:left w:val="nil"/>
              <w:bottom w:val="nil"/>
              <w:right w:val="nil"/>
            </w:tcBorders>
          </w:tcPr>
          <w:p>
            <w:pPr>
              <w:pStyle w:val="Normal"/>
              <w:widowControl w:val="false"/>
              <w:tabs>
                <w:tab w:val="clear" w:pos="720"/>
                <w:tab w:val="left" w:pos="7805" w:leader="none"/>
              </w:tabs>
              <w:spacing w:lineRule="atLeast" w:line="240" w:before="0" w:after="0"/>
              <w:jc w:val="left"/>
              <w:rPr>
                <w:rFonts w:ascii="Times New Roman" w:hAnsi="Times New Roman" w:eastAsia="Times New Roman"/>
                <w:b/>
                <w:b/>
                <w:bCs/>
                <w:color w:val="000000"/>
                <w:sz w:val="22"/>
              </w:rPr>
            </w:pPr>
            <w:r>
              <w:rPr>
                <w:rFonts w:eastAsia="Times New Roman" w:cs="Times New Roman" w:ascii="Times New Roman" w:hAnsi="Times New Roman"/>
                <w:b/>
                <w:kern w:val="0"/>
                <w:sz w:val="22"/>
                <w:szCs w:val="22"/>
                <w:lang w:eastAsia="ru-RU" w:bidi="ar-SA"/>
              </w:rPr>
              <w:t>м. Луцьк</w:t>
            </w:r>
          </w:p>
        </w:tc>
        <w:tc>
          <w:tcPr>
            <w:tcW w:w="5812" w:type="dxa"/>
            <w:tcBorders>
              <w:top w:val="nil"/>
              <w:left w:val="nil"/>
              <w:bottom w:val="nil"/>
              <w:right w:val="nil"/>
            </w:tcBorders>
          </w:tcPr>
          <w:p>
            <w:pPr>
              <w:pStyle w:val="Normal"/>
              <w:widowControl w:val="false"/>
              <w:tabs>
                <w:tab w:val="clear" w:pos="720"/>
                <w:tab w:val="left" w:pos="7805" w:leader="none"/>
              </w:tabs>
              <w:spacing w:lineRule="atLeast" w:line="240" w:before="0" w:after="0"/>
              <w:jc w:val="right"/>
              <w:rPr>
                <w:rFonts w:ascii="Times New Roman" w:hAnsi="Times New Roman" w:eastAsia="Times New Roman"/>
                <w:b/>
                <w:b/>
                <w:bCs/>
                <w:color w:val="000000"/>
                <w:sz w:val="22"/>
              </w:rPr>
            </w:pPr>
            <w:r>
              <w:rPr>
                <w:rFonts w:eastAsia="Times New Roman" w:cs="Times New Roman" w:ascii="Times New Roman" w:hAnsi="Times New Roman"/>
                <w:b/>
                <w:bCs/>
                <w:color w:val="000000"/>
                <w:kern w:val="0"/>
                <w:sz w:val="22"/>
                <w:szCs w:val="22"/>
                <w:lang w:eastAsia="ru-RU" w:bidi="ar-SA"/>
              </w:rPr>
              <w:t>«_________» ______________ 20____ року</w:t>
            </w:r>
          </w:p>
        </w:tc>
      </w:tr>
    </w:tbl>
    <w:p>
      <w:pPr>
        <w:pStyle w:val="Style18"/>
        <w:spacing w:before="0" w:after="0"/>
        <w:ind w:firstLine="720"/>
        <w:jc w:val="both"/>
        <w:rPr>
          <w:rFonts w:ascii="Times New Roman" w:hAnsi="Times New Roman"/>
          <w:sz w:val="22"/>
          <w:szCs w:val="22"/>
        </w:rPr>
      </w:pPr>
      <w:r>
        <w:rPr>
          <w:rFonts w:ascii="Times New Roman" w:hAnsi="Times New Roman"/>
          <w:sz w:val="22"/>
          <w:szCs w:val="22"/>
        </w:rPr>
      </w:r>
    </w:p>
    <w:p>
      <w:pPr>
        <w:pStyle w:val="Style18"/>
        <w:spacing w:before="0" w:after="0"/>
        <w:ind w:firstLine="720"/>
        <w:jc w:val="both"/>
        <w:rPr>
          <w:rFonts w:ascii="Times New Roman" w:hAnsi="Times New Roman"/>
          <w:sz w:val="22"/>
          <w:szCs w:val="22"/>
        </w:rPr>
      </w:pPr>
      <w:r>
        <w:rPr>
          <w:rFonts w:ascii="Times New Roman" w:hAnsi="Times New Roman"/>
          <w:b/>
          <w:sz w:val="22"/>
          <w:szCs w:val="22"/>
        </w:rPr>
        <w:t>Луцьке спеціальне комунальне автотранспортне підприємство „Луцькспецкомунтранс"</w:t>
      </w:r>
      <w:r>
        <w:rPr>
          <w:rFonts w:ascii="Times New Roman" w:hAnsi="Times New Roman"/>
          <w:sz w:val="22"/>
          <w:szCs w:val="22"/>
        </w:rPr>
        <w:t>, в особі директора Марценюка Володимира Віталійовича, що діє на підставі Статуту, затвердженого рішенням Луцької міської ради від 29.09.2021 року №19/87 (далі - виконавець), з однієї сторони, та</w:t>
      </w:r>
    </w:p>
    <w:p>
      <w:pPr>
        <w:pStyle w:val="Style18"/>
        <w:spacing w:before="0" w:after="0"/>
        <w:ind w:firstLine="720"/>
        <w:jc w:val="both"/>
        <w:rPr>
          <w:rFonts w:ascii="Times New Roman" w:hAnsi="Times New Roman"/>
          <w:sz w:val="22"/>
          <w:szCs w:val="22"/>
        </w:rPr>
      </w:pPr>
      <w:r>
        <w:rPr>
          <w:rFonts w:ascii="Times New Roman" w:hAnsi="Times New Roman"/>
          <w:b/>
          <w:sz w:val="22"/>
          <w:szCs w:val="22"/>
        </w:rPr>
        <w:t>Індивідуальний споживач</w:t>
      </w:r>
      <w:r>
        <w:rPr>
          <w:rFonts w:ascii="Times New Roman" w:hAnsi="Times New Roman"/>
          <w:sz w:val="22"/>
          <w:szCs w:val="22"/>
        </w:rPr>
        <w:t>, який є співвласником багатоквартирного будинку, власником індивідуального (садибного) житлового будинку і приєднався до умов цього договору згідно з пунктом 3 цього договору (далі - споживач), з іншої сторони, уклали цей договір про таке.</w:t>
      </w:r>
    </w:p>
    <w:p>
      <w:pPr>
        <w:pStyle w:val="Style18"/>
        <w:spacing w:before="0" w:after="0"/>
        <w:ind w:firstLine="720"/>
        <w:jc w:val="center"/>
        <w:rPr>
          <w:rFonts w:ascii="Times New Roman" w:hAnsi="Times New Roman"/>
          <w:b/>
          <w:b/>
          <w:sz w:val="22"/>
          <w:szCs w:val="22"/>
        </w:rPr>
      </w:pPr>
      <w:r>
        <w:rPr>
          <w:rFonts w:ascii="Times New Roman" w:hAnsi="Times New Roman"/>
          <w:b/>
          <w:sz w:val="22"/>
          <w:szCs w:val="22"/>
        </w:rPr>
      </w:r>
    </w:p>
    <w:p>
      <w:pPr>
        <w:pStyle w:val="Style18"/>
        <w:spacing w:before="0" w:after="0"/>
        <w:ind w:firstLine="720"/>
        <w:jc w:val="center"/>
        <w:rPr>
          <w:rFonts w:ascii="Times New Roman" w:hAnsi="Times New Roman"/>
          <w:b/>
          <w:b/>
          <w:sz w:val="22"/>
          <w:szCs w:val="22"/>
        </w:rPr>
      </w:pPr>
      <w:r>
        <w:rPr>
          <w:rFonts w:ascii="Times New Roman" w:hAnsi="Times New Roman"/>
          <w:b/>
          <w:sz w:val="22"/>
          <w:szCs w:val="22"/>
        </w:rPr>
        <w:t>1. Загальні положення</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1.1. Цей договір є публічним договором приєднання, який встановлює порядок та умови надання послуг з поводження з побутовими відходами (далі - послуга) споживачу. Цей договір укладається сторонами відповідно до Закону України “Про житлово-комунальні послуги” з урахуванням статей 633, 634, 641, 642 Цивільного кодексу України.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1.2. Даний договір є публічним договором приєднання, який набирає чинності через 30 днів з моменту розміщення на веб-сайті Луцької міської ради за посиланням: https://www.lutskrada.gov.ua</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надану послуги, факт отримання послуги.</w:t>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2. Предмет договору</w:t>
      </w:r>
    </w:p>
    <w:p>
      <w:pPr>
        <w:pStyle w:val="Style18"/>
        <w:spacing w:before="120" w:after="0"/>
        <w:contextualSpacing/>
        <w:jc w:val="both"/>
        <w:rPr>
          <w:rFonts w:ascii="Times New Roman" w:hAnsi="Times New Roman"/>
          <w:bCs/>
          <w:sz w:val="22"/>
          <w:szCs w:val="22"/>
        </w:rPr>
      </w:pPr>
      <w:r>
        <w:rPr>
          <w:rFonts w:ascii="Times New Roman" w:hAnsi="Times New Roman"/>
          <w:sz w:val="22"/>
          <w:szCs w:val="22"/>
        </w:rPr>
        <w:t xml:space="preserve">2.1. </w:t>
      </w:r>
      <w:r>
        <w:rPr>
          <w:rFonts w:ascii="Times New Roman" w:hAnsi="Times New Roman"/>
          <w:bCs/>
          <w:sz w:val="22"/>
          <w:szCs w:val="22"/>
        </w:rPr>
        <w:t xml:space="preserve">Виконавець зобов’язується згідно з графіком надавати послуги з поводження з побутовими відходами, відповідно до затверджених виконавчим комітетом Луцької міської ради рішення про розмір тарифу, а Споживач зобов’язується своєчасно оплачувати послуги за встановленими тарифами у строки і на умовах, передбачених цим договором (далі - послуги) на підставі рішення виконавчого комітету Луцької міської ради від 17.06.2015 №336-1 «Про визначення виконавців послуг з вивезення побутових відходів у місті Луцьку» та рішення виконавчого комітету Луцької міської ради від 20.11.2019 № 731-1 «Про визначення виконавців послуг з вивезення побутових відходів у місті Луцьку», рішення виконавчого комітету Луцької міської ради від 01.12.2021 №973-1 «Про визначення виконавців послуг з вивезення побутових відходів у Луцькій міській територіальній громаді» та відповідно до правил благоустрою території населеного пункту, розроблених з урахуванням схеми санітарного очищення населеного пункту. Вказані документи розміщені на офіційному веб-сайті Луцької міської ради за посиланням: </w:t>
      </w:r>
      <w:hyperlink r:id="rId2">
        <w:r>
          <w:rPr>
            <w:rFonts w:ascii="Times New Roman" w:hAnsi="Times New Roman"/>
            <w:bCs/>
            <w:sz w:val="22"/>
            <w:szCs w:val="22"/>
          </w:rPr>
          <w:t>https://www.lutskrada.gov.ua/documents</w:t>
        </w:r>
      </w:hyperlink>
      <w:r>
        <w:rPr>
          <w:rFonts w:ascii="Times New Roman" w:hAnsi="Times New Roman"/>
          <w:bCs/>
          <w:sz w:val="22"/>
          <w:szCs w:val="22"/>
        </w:rPr>
        <w:t>.</w:t>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3. Перелік послуг</w:t>
      </w:r>
    </w:p>
    <w:p>
      <w:pPr>
        <w:pStyle w:val="Style18"/>
        <w:spacing w:before="120" w:after="0"/>
        <w:contextualSpacing/>
        <w:jc w:val="both"/>
        <w:rPr>
          <w:rFonts w:ascii="Times New Roman" w:hAnsi="Times New Roman"/>
          <w:sz w:val="22"/>
          <w:szCs w:val="22"/>
        </w:rPr>
      </w:pPr>
      <w:r>
        <w:rPr>
          <w:rFonts w:ascii="Times New Roman" w:hAnsi="Times New Roman"/>
          <w:sz w:val="22"/>
          <w:szCs w:val="22"/>
        </w:rPr>
        <w:t>3.1. Виконавець надає споживачеві послуги з поводження з твердими, великогабаритними та ремонтними відходами.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xml:space="preserve">3.2. Передача небезпечних відходів у складі побутових відходів здійснюється Споживачем </w:t>
      </w:r>
      <w:bookmarkStart w:id="0" w:name="_GoBack"/>
      <w:bookmarkEnd w:id="0"/>
      <w:r>
        <w:rPr>
          <w:rFonts w:ascii="Times New Roman" w:hAnsi="Times New Roman"/>
          <w:sz w:val="22"/>
          <w:szCs w:val="22"/>
        </w:rPr>
        <w:t>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3.3. Тип та кількість спеціально обладнаних для цього транспортних засобів, необхідних для перевезення відходів, визначаються виконавцем.</w:t>
      </w:r>
    </w:p>
    <w:p>
      <w:pPr>
        <w:pStyle w:val="Style18"/>
        <w:spacing w:before="120" w:after="0"/>
        <w:contextualSpacing/>
        <w:jc w:val="both"/>
        <w:rPr>
          <w:rFonts w:ascii="Times New Roman" w:hAnsi="Times New Roman"/>
          <w:b/>
          <w:b/>
          <w:sz w:val="22"/>
          <w:szCs w:val="22"/>
        </w:rPr>
      </w:pPr>
      <w:r>
        <w:rPr>
          <w:rFonts w:ascii="Times New Roman" w:hAnsi="Times New Roman"/>
          <w:b/>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4. Вимоги до якості послуг</w:t>
      </w:r>
    </w:p>
    <w:p>
      <w:pPr>
        <w:pStyle w:val="Style18"/>
        <w:spacing w:before="120" w:after="0"/>
        <w:contextualSpacing/>
        <w:jc w:val="both"/>
        <w:rPr>
          <w:rFonts w:ascii="Times New Roman" w:hAnsi="Times New Roman"/>
          <w:sz w:val="22"/>
          <w:szCs w:val="22"/>
        </w:rPr>
      </w:pPr>
      <w:r>
        <w:rPr>
          <w:rFonts w:ascii="Times New Roman" w:hAnsi="Times New Roman"/>
          <w:sz w:val="22"/>
          <w:szCs w:val="22"/>
        </w:rPr>
        <w:t>4.1.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4.2. Вимоги до якості послуги та інша необхідна інформація за видами побутових відходів (а саме норми надання послуг з вивезення побутових відходів (назва, дата та номер акта про затвердження норм), схема надання послуги (контейнерна чи безконтейнерна), місткість та приналежність контейнерів, графік вивезення тощо) розміщуються на веб-сайті Луцької міської ради за посиланням: https://www.lutskrada.gov.ua</w:t>
      </w:r>
    </w:p>
    <w:p>
      <w:pPr>
        <w:pStyle w:val="Style18"/>
        <w:spacing w:before="120" w:after="0"/>
        <w:contextualSpacing/>
        <w:jc w:val="both"/>
        <w:rPr>
          <w:rFonts w:ascii="Times New Roman" w:hAnsi="Times New Roman"/>
          <w:sz w:val="22"/>
          <w:szCs w:val="22"/>
        </w:rPr>
      </w:pPr>
      <w:r>
        <w:rPr>
          <w:rFonts w:ascii="Times New Roman" w:hAnsi="Times New Roman"/>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5. Права та обов’язки споживача</w:t>
      </w:r>
    </w:p>
    <w:p>
      <w:pPr>
        <w:pStyle w:val="Style18"/>
        <w:spacing w:before="120" w:after="0"/>
        <w:contextualSpacing/>
        <w:jc w:val="both"/>
        <w:rPr>
          <w:rFonts w:ascii="Times New Roman" w:hAnsi="Times New Roman"/>
          <w:i/>
          <w:i/>
          <w:sz w:val="22"/>
          <w:szCs w:val="22"/>
        </w:rPr>
      </w:pPr>
      <w:r>
        <w:rPr>
          <w:rFonts w:ascii="Times New Roman" w:hAnsi="Times New Roman"/>
          <w:i/>
          <w:sz w:val="22"/>
          <w:szCs w:val="22"/>
        </w:rPr>
        <w:t>5.1. Споживач має право на:</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5.1.1. одержання своєчасно та належної якості послуги згідно із законодавством і умовами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або на зазначений споживачем засіб зв’язку у додатку 1 до цього договору, у строк, визначений Законом України “Про доступ до публічної інформації”;</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5.1.3. відшкодування збитків, завданих його майну, шкоди, заподіяної його життю або здоров’ю внаслідок неналежного надання або ненадання послуг;</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5.1.4. усунення виконавцем виявлених недоліків у наданні послуг протягом п’яти робочих днів з моменту звернення споживача;</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5.1.7. перевірку кількості та якості послуг в установленому законодавством порядку;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5.1.8. складення та підписання актів-претензій у зв’язку з порушенням правил надання послуг;</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5.1.9.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pPr>
        <w:pStyle w:val="Style18"/>
        <w:spacing w:before="120" w:after="0"/>
        <w:contextualSpacing/>
        <w:jc w:val="both"/>
        <w:rPr>
          <w:rFonts w:ascii="Times New Roman" w:hAnsi="Times New Roman"/>
          <w:i/>
          <w:i/>
          <w:sz w:val="22"/>
          <w:szCs w:val="22"/>
        </w:rPr>
      </w:pPr>
      <w:r>
        <w:rPr>
          <w:rFonts w:ascii="Times New Roman" w:hAnsi="Times New Roman"/>
          <w:i/>
          <w:sz w:val="22"/>
          <w:szCs w:val="22"/>
        </w:rPr>
      </w:r>
    </w:p>
    <w:p>
      <w:pPr>
        <w:pStyle w:val="Style18"/>
        <w:spacing w:before="120" w:after="0"/>
        <w:contextualSpacing/>
        <w:jc w:val="both"/>
        <w:rPr>
          <w:rFonts w:ascii="Times New Roman" w:hAnsi="Times New Roman"/>
          <w:i/>
          <w:i/>
          <w:sz w:val="22"/>
          <w:szCs w:val="22"/>
        </w:rPr>
      </w:pPr>
      <w:r>
        <w:rPr>
          <w:rFonts w:ascii="Times New Roman" w:hAnsi="Times New Roman"/>
          <w:i/>
          <w:sz w:val="22"/>
          <w:szCs w:val="22"/>
        </w:rPr>
        <w:t>5.2. Споживач зобов’язується:</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5.2.1. своєчасно вживати заходів до усунення виявлених неполадок, пов’язаних з отриманням послуг, що виникли з його вини;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5.2.2. оплачувати в установлений договором строк надані йому послуги з поводження з побутовими відходами;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5.2.3. дотримуватися правил пожежної безпеки та санітарних норм;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5.2.4. у разі несвоєчасного здійснення платежів за послуги сплачувати пеню в розмірі, встановленому відповідно до пункту 8.3. цього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30 календарних днів від дня настання такої події;</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5.2.6. забезпечити роздільне збирання побутових відходів;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5.2.7. визначати разом з виконавцем та представниками органу місцевого самоврядування місця розташування контейнерних майданчиків, створювати умови для вільного доступу до таких майданчиків;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5.2.8. обладнати контейнерні майданчики, утримувати їх у належному санітарному стані, забезпечувати освітлення в темний час доби;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5.2.9.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pPr>
        <w:pStyle w:val="Style18"/>
        <w:spacing w:before="120" w:after="0"/>
        <w:contextualSpacing/>
        <w:jc w:val="both"/>
        <w:rPr>
          <w:rFonts w:ascii="Times New Roman" w:hAnsi="Times New Roman"/>
          <w:b/>
          <w:b/>
          <w:sz w:val="22"/>
          <w:szCs w:val="22"/>
        </w:rPr>
      </w:pPr>
      <w:r>
        <w:rPr>
          <w:rFonts w:ascii="Times New Roman" w:hAnsi="Times New Roman"/>
          <w:b/>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6. Права та обов’язки виконавця</w:t>
      </w:r>
    </w:p>
    <w:p>
      <w:pPr>
        <w:pStyle w:val="Style18"/>
        <w:spacing w:before="120" w:after="0"/>
        <w:contextualSpacing/>
        <w:jc w:val="both"/>
        <w:rPr>
          <w:rFonts w:ascii="Times New Roman" w:hAnsi="Times New Roman"/>
          <w:i/>
          <w:i/>
          <w:sz w:val="22"/>
          <w:szCs w:val="22"/>
        </w:rPr>
      </w:pPr>
      <w:r>
        <w:rPr>
          <w:rFonts w:ascii="Times New Roman" w:hAnsi="Times New Roman"/>
          <w:i/>
          <w:sz w:val="22"/>
          <w:szCs w:val="22"/>
        </w:rPr>
        <w:t>6.1. Виконавець має право:</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6.1.1.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6.1.2.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6.1.3. вимагати від споживача забезпечувати роздільне збирання побутових відходів;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6.1.4. припинити/зупинити надання послуг у разі їх неоплати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6.1.5.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6.1.6. звертатися до суду в разі порушення споживачем умов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6.1.7.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pPr>
        <w:pStyle w:val="Style18"/>
        <w:spacing w:before="120" w:after="0"/>
        <w:contextualSpacing/>
        <w:jc w:val="both"/>
        <w:rPr>
          <w:rFonts w:ascii="Times New Roman" w:hAnsi="Times New Roman"/>
          <w:i/>
          <w:i/>
          <w:sz w:val="22"/>
          <w:szCs w:val="22"/>
        </w:rPr>
      </w:pPr>
      <w:r>
        <w:rPr>
          <w:rFonts w:ascii="Times New Roman" w:hAnsi="Times New Roman"/>
          <w:i/>
          <w:sz w:val="22"/>
          <w:szCs w:val="22"/>
        </w:rPr>
      </w:r>
    </w:p>
    <w:p>
      <w:pPr>
        <w:pStyle w:val="Style18"/>
        <w:spacing w:before="120" w:after="0"/>
        <w:contextualSpacing/>
        <w:jc w:val="both"/>
        <w:rPr>
          <w:rFonts w:ascii="Times New Roman" w:hAnsi="Times New Roman"/>
          <w:i/>
          <w:i/>
          <w:sz w:val="22"/>
          <w:szCs w:val="22"/>
        </w:rPr>
      </w:pPr>
      <w:r>
        <w:rPr>
          <w:rFonts w:ascii="Times New Roman" w:hAnsi="Times New Roman"/>
          <w:i/>
          <w:sz w:val="22"/>
          <w:szCs w:val="22"/>
        </w:rPr>
        <w:t>6.2. Виконавець зобов’язується:</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зокрема шляхом створення системи управління якістю відповідно до національних або міжнародних стандартів;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6.2.3. без додаткової оплати надавати в установленому законодавством порядку та публікувати на веб-сайті Луцької міської ради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Держстату від 23 січня 2015 р. № 24 “Про затвердження переліків категорій, груп відходів і операцій поводження з відходами”;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6.2.5. вживати заходів до усунення порушень якості послуг у строки, встановлені законодавством;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8.3. цього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6.2.8. своєчасно та власним коштом проводити роботи з усунення виявлених неполадок, пов’язаних з наданням послуг, що виникли з його вини;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6.2.9. інформувати споживача про намір зміни тарифів на послуги з поводження з побутовими відходами у порядку, що встановлений чинним законодавством;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6.2.11. забезпечувати утримання у належному санітарно-технічному стані контейнерів у разі перебування їх у власності виконавця;</w:t>
      </w:r>
    </w:p>
    <w:p>
      <w:pPr>
        <w:pStyle w:val="Style18"/>
        <w:spacing w:before="120" w:after="0"/>
        <w:contextualSpacing/>
        <w:jc w:val="both"/>
        <w:rPr>
          <w:rFonts w:ascii="Times New Roman" w:hAnsi="Times New Roman"/>
          <w:sz w:val="22"/>
          <w:szCs w:val="22"/>
        </w:rPr>
      </w:pPr>
      <w:r>
        <w:rPr>
          <w:rFonts w:ascii="Times New Roman" w:hAnsi="Times New Roman"/>
          <w:sz w:val="22"/>
          <w:szCs w:val="22"/>
        </w:rPr>
        <w:t>6.2.12.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pPr>
        <w:pStyle w:val="Style18"/>
        <w:spacing w:before="120" w:after="0"/>
        <w:contextualSpacing/>
        <w:jc w:val="both"/>
        <w:rPr>
          <w:rFonts w:ascii="Times New Roman" w:hAnsi="Times New Roman"/>
          <w:sz w:val="22"/>
          <w:szCs w:val="22"/>
        </w:rPr>
      </w:pPr>
      <w:r>
        <w:rPr>
          <w:rFonts w:ascii="Times New Roman" w:hAnsi="Times New Roman"/>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7. Ціна та порядок оплати послуг</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7.1. Споживач вносить однією сумою плату виконавцю, яка складається з:</w:t>
      </w:r>
    </w:p>
    <w:p>
      <w:pPr>
        <w:pStyle w:val="Style18"/>
        <w:spacing w:before="120" w:after="0"/>
        <w:contextualSpacing/>
        <w:jc w:val="both"/>
        <w:rPr>
          <w:rFonts w:ascii="Times New Roman" w:hAnsi="Times New Roman"/>
          <w:sz w:val="22"/>
          <w:szCs w:val="22"/>
        </w:rPr>
      </w:pPr>
      <w:r>
        <w:rPr>
          <w:rFonts w:ascii="Times New Roman" w:hAnsi="Times New Roman"/>
          <w:sz w:val="22"/>
          <w:szCs w:val="22"/>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7.2. Згідно з рішенням виконавчого комітету Луцької міської ради від 17.11.2021 №924-1 «Про тарифи на послуги, що надаються Луцьким спеціальним комунальним автотранспортним підприємством «Луцькспецкомунтранс» тариф на послугу з поводження з побутовими відходами становить:</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- 29,72 грн. (двадцять дев’ять гривень 72 коп.) за 1 зареєстровану людину, що проживає у будинку індивідуальної забудови в місяць на момент укладення цього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- 26,33 грн. (двадцять шість гривень 33 коп.) за 1 зареєстровану людину, що проживає у багатоквартирному упорядкованому будинку) в місяць на момент укладення цього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Нарахування здійснюється за кількістю зареєстрованих осіб.</w:t>
      </w:r>
    </w:p>
    <w:p>
      <w:pPr>
        <w:pStyle w:val="Style18"/>
        <w:spacing w:before="120" w:after="0"/>
        <w:contextualSpacing/>
        <w:jc w:val="both"/>
        <w:rPr>
          <w:rFonts w:ascii="Times New Roman" w:hAnsi="Times New Roman"/>
          <w:sz w:val="22"/>
          <w:szCs w:val="22"/>
        </w:rPr>
      </w:pPr>
      <w:r>
        <w:rPr>
          <w:rFonts w:ascii="Times New Roman" w:hAnsi="Times New Roman"/>
          <w:sz w:val="22"/>
          <w:szCs w:val="22"/>
        </w:rPr>
        <w:t>Якщо кількість зареєстрованих осіб у квартирі дорівнює «0», нарахування плати за послугу з поводження з побутовими відходами здійснюється за тарифом на 1 людину в місяць.</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7.3. Розрахунковим періодом є календарний місяць.</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7.4. Плата за послугу нараховується щомісяця.</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xml:space="preserve">7.5.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pPr>
        <w:pStyle w:val="Style18"/>
        <w:spacing w:before="120" w:after="0"/>
        <w:contextualSpacing/>
        <w:jc w:val="both"/>
        <w:rPr>
          <w:rFonts w:ascii="Times New Roman" w:hAnsi="Times New Roman"/>
          <w:sz w:val="22"/>
          <w:szCs w:val="22"/>
        </w:rPr>
      </w:pPr>
      <w:r>
        <w:rPr>
          <w:rFonts w:ascii="Times New Roman" w:hAnsi="Times New Roman"/>
          <w:sz w:val="22"/>
          <w:szCs w:val="22"/>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7.6. Споживач здійснює оплату за цим договором щомісяця не пізніше 20 числа місяця, що настає за розрахунковим, що є граничним строком внесення плати за спожиту послугу.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xml:space="preserve">7.7. За бажанням споживача оплата послуг може здійснюватися шляхом внесення авансових платежів. </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7.8.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 в рахунок майбутніх платежів споживача починаючи з найближчих до дати здійснення платежу розрахункових періодів.</w:t>
      </w:r>
    </w:p>
    <w:p>
      <w:pPr>
        <w:pStyle w:val="Style18"/>
        <w:spacing w:before="120" w:after="0"/>
        <w:contextualSpacing/>
        <w:jc w:val="both"/>
        <w:rPr>
          <w:rFonts w:ascii="Times New Roman" w:hAnsi="Times New Roman"/>
          <w:sz w:val="22"/>
          <w:szCs w:val="22"/>
        </w:rPr>
      </w:pPr>
      <w:r>
        <w:rPr>
          <w:rFonts w:ascii="Times New Roman" w:hAnsi="Times New Roman"/>
          <w:sz w:val="22"/>
          <w:szCs w:val="22"/>
        </w:rPr>
        <w:t>Виконавець не має права зараховувати плату за послугу в рахунок погашення пені, нарахованої споживачу без згоди споживача.</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7.9.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 у першу чергу - в рахунок плати за послугу.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7.10.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8. Відповідальність сторін за порушення договору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8.1. Сторони несуть відповідальність за порушення договору відповідно до статті 26 Закону України “Про житлово-комунальні послуги”.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8.2.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p>
    <w:p>
      <w:pPr>
        <w:pStyle w:val="Style18"/>
        <w:spacing w:before="120" w:after="0"/>
        <w:contextualSpacing/>
        <w:jc w:val="both"/>
        <w:rPr>
          <w:rFonts w:ascii="Times New Roman" w:hAnsi="Times New Roman"/>
          <w:sz w:val="22"/>
          <w:szCs w:val="22"/>
        </w:rPr>
      </w:pPr>
      <w:r>
        <w:rPr>
          <w:rFonts w:ascii="Times New Roman" w:hAnsi="Times New Roman"/>
          <w:sz w:val="22"/>
          <w:szCs w:val="22"/>
        </w:rPr>
        <w:t>8.3.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Нарахування пені починається з першого робочого дня, що настає за останнім днем граничного строку внесення плати за послугу.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pPr>
        <w:pStyle w:val="Style18"/>
        <w:spacing w:before="120" w:after="0"/>
        <w:contextualSpacing/>
        <w:jc w:val="both"/>
        <w:rPr>
          <w:rFonts w:ascii="Times New Roman" w:hAnsi="Times New Roman"/>
          <w:sz w:val="22"/>
          <w:szCs w:val="22"/>
        </w:rPr>
      </w:pPr>
      <w:r>
        <w:rPr>
          <w:rFonts w:ascii="Times New Roman" w:hAnsi="Times New Roman"/>
          <w:sz w:val="22"/>
          <w:szCs w:val="22"/>
        </w:rPr>
        <w:t>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 що виникли з вини споживача).</w:t>
      </w:r>
    </w:p>
    <w:p>
      <w:pPr>
        <w:pStyle w:val="Style18"/>
        <w:spacing w:before="120" w:after="0"/>
        <w:contextualSpacing/>
        <w:jc w:val="both"/>
        <w:rPr>
          <w:rFonts w:ascii="Times New Roman" w:hAnsi="Times New Roman"/>
          <w:sz w:val="22"/>
          <w:szCs w:val="22"/>
        </w:rPr>
      </w:pPr>
      <w:r>
        <w:rPr>
          <w:rFonts w:ascii="Times New Roman" w:hAnsi="Times New Roman"/>
          <w:sz w:val="22"/>
          <w:szCs w:val="22"/>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9. Порядок і умови внесення змін до договору, зокрема щодо ціни послуги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9.1.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на веб-сайті Луцької міської ради за посиланням: https://www.lutskrada.gov.ua</w:t>
      </w:r>
    </w:p>
    <w:p>
      <w:pPr>
        <w:pStyle w:val="Style18"/>
        <w:spacing w:before="120" w:after="0"/>
        <w:contextualSpacing/>
        <w:jc w:val="both"/>
        <w:rPr>
          <w:rFonts w:ascii="Times New Roman" w:hAnsi="Times New Roman"/>
          <w:sz w:val="22"/>
          <w:szCs w:val="22"/>
        </w:rPr>
      </w:pPr>
      <w:r>
        <w:rPr>
          <w:rFonts w:ascii="Times New Roman" w:hAnsi="Times New Roman"/>
          <w:sz w:val="22"/>
          <w:szCs w:val="22"/>
        </w:rPr>
        <w:t>Інформування споживача про намір зміни ціни/тарифу на послугу здійснюється виконавцем в порядку, затвердженому Мінрегіоном.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9.2.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відповідних органів шляхом розміщення на офіційному веб-сайті Луцької міської ради за посиланням: https://www.lutskrada.gov.ua.</w:t>
      </w:r>
    </w:p>
    <w:p>
      <w:pPr>
        <w:pStyle w:val="Style18"/>
        <w:spacing w:before="120" w:after="0"/>
        <w:contextualSpacing/>
        <w:jc w:val="both"/>
        <w:rPr>
          <w:rFonts w:ascii="Times New Roman" w:hAnsi="Times New Roman"/>
          <w:sz w:val="22"/>
          <w:szCs w:val="22"/>
        </w:rPr>
      </w:pPr>
      <w:r>
        <w:rPr>
          <w:rFonts w:ascii="Times New Roman" w:hAnsi="Times New Roman"/>
          <w:sz w:val="22"/>
          <w:szCs w:val="22"/>
        </w:rPr>
        <w:t>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на офіційному веб-сайті Луцької міської ради за посиланням: https://www.lutskrada.gov.ua</w:t>
      </w:r>
    </w:p>
    <w:p>
      <w:pPr>
        <w:pStyle w:val="Style18"/>
        <w:spacing w:before="120" w:after="0"/>
        <w:contextualSpacing/>
        <w:jc w:val="both"/>
        <w:rPr>
          <w:rFonts w:ascii="Times New Roman" w:hAnsi="Times New Roman"/>
          <w:sz w:val="22"/>
          <w:szCs w:val="22"/>
        </w:rPr>
      </w:pPr>
      <w:r>
        <w:rPr>
          <w:rFonts w:ascii="Times New Roman" w:hAnsi="Times New Roman"/>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10. Форс-мажорні обставини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10.1.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10.2.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11. Строк дії договору, порядок і умови продовження його дії та розірвання</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11.1.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xml:space="preserve">11.2. Якщо за 30 днів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11.3. Дія договору припиняється у разі:</w:t>
      </w:r>
    </w:p>
    <w:p>
      <w:pPr>
        <w:pStyle w:val="Style18"/>
        <w:numPr>
          <w:ilvl w:val="0"/>
          <w:numId w:val="1"/>
        </w:numPr>
        <w:spacing w:before="120" w:after="0"/>
        <w:contextualSpacing/>
        <w:jc w:val="both"/>
        <w:rPr>
          <w:rFonts w:ascii="Times New Roman" w:hAnsi="Times New Roman"/>
          <w:sz w:val="22"/>
          <w:szCs w:val="22"/>
        </w:rPr>
      </w:pPr>
      <w:r>
        <w:rPr>
          <w:rFonts w:ascii="Times New Roman" w:hAnsi="Times New Roman"/>
          <w:sz w:val="22"/>
          <w:szCs w:val="22"/>
        </w:rPr>
        <w:t>закінчення строку, на який його укладено, якщо одна із сторін повідомила про відмову від договору відповідно до пункту 11.2. цього договору;</w:t>
      </w:r>
    </w:p>
    <w:p>
      <w:pPr>
        <w:pStyle w:val="Style18"/>
        <w:numPr>
          <w:ilvl w:val="0"/>
          <w:numId w:val="1"/>
        </w:numPr>
        <w:spacing w:before="120" w:after="0"/>
        <w:contextualSpacing/>
        <w:jc w:val="both"/>
        <w:rPr>
          <w:rFonts w:ascii="Times New Roman" w:hAnsi="Times New Roman"/>
          <w:sz w:val="22"/>
          <w:szCs w:val="22"/>
        </w:rPr>
      </w:pPr>
      <w:r>
        <w:rPr>
          <w:rFonts w:ascii="Times New Roman" w:hAnsi="Times New Roman"/>
          <w:sz w:val="22"/>
          <w:szCs w:val="22"/>
        </w:rPr>
        <w:t>смерті фізичної особи - споживача (виконавця);</w:t>
      </w:r>
    </w:p>
    <w:p>
      <w:pPr>
        <w:pStyle w:val="Style18"/>
        <w:numPr>
          <w:ilvl w:val="0"/>
          <w:numId w:val="1"/>
        </w:numPr>
        <w:spacing w:before="120" w:after="0"/>
        <w:contextualSpacing/>
        <w:jc w:val="both"/>
        <w:rPr>
          <w:rFonts w:ascii="Times New Roman" w:hAnsi="Times New Roman"/>
          <w:sz w:val="22"/>
          <w:szCs w:val="22"/>
        </w:rPr>
      </w:pPr>
      <w:r>
        <w:rPr>
          <w:rFonts w:ascii="Times New Roman" w:hAnsi="Times New Roman"/>
          <w:sz w:val="22"/>
          <w:szCs w:val="22"/>
        </w:rPr>
        <w:t>прийняття рішення про ліквідацію юридичної особи - споживача (виконавця) або визнання його банкрутом.</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11.4. Дія договору припиняється шляхом розірвання за:</w:t>
      </w:r>
    </w:p>
    <w:p>
      <w:pPr>
        <w:pStyle w:val="Style18"/>
        <w:numPr>
          <w:ilvl w:val="0"/>
          <w:numId w:val="2"/>
        </w:numPr>
        <w:spacing w:before="120" w:after="0"/>
        <w:contextualSpacing/>
        <w:jc w:val="both"/>
        <w:rPr>
          <w:rFonts w:ascii="Times New Roman" w:hAnsi="Times New Roman"/>
          <w:sz w:val="22"/>
          <w:szCs w:val="22"/>
        </w:rPr>
      </w:pPr>
      <w:r>
        <w:rPr>
          <w:rFonts w:ascii="Times New Roman" w:hAnsi="Times New Roman"/>
          <w:sz w:val="22"/>
          <w:szCs w:val="22"/>
        </w:rPr>
        <w:t>взаємною згодою сторін;</w:t>
      </w:r>
    </w:p>
    <w:p>
      <w:pPr>
        <w:pStyle w:val="Style18"/>
        <w:numPr>
          <w:ilvl w:val="0"/>
          <w:numId w:val="2"/>
        </w:numPr>
        <w:spacing w:before="120" w:after="0"/>
        <w:contextualSpacing/>
        <w:jc w:val="both"/>
        <w:rPr>
          <w:rFonts w:ascii="Times New Roman" w:hAnsi="Times New Roman"/>
          <w:sz w:val="22"/>
          <w:szCs w:val="22"/>
        </w:rPr>
      </w:pPr>
      <w:r>
        <w:rPr>
          <w:rFonts w:ascii="Times New Roman" w:hAnsi="Times New Roman"/>
          <w:sz w:val="22"/>
          <w:szCs w:val="22"/>
        </w:rPr>
        <w:t>односторонньої відмови від договору;</w:t>
      </w:r>
    </w:p>
    <w:p>
      <w:pPr>
        <w:pStyle w:val="Style18"/>
        <w:numPr>
          <w:ilvl w:val="0"/>
          <w:numId w:val="2"/>
        </w:numPr>
        <w:spacing w:before="120" w:after="0"/>
        <w:contextualSpacing/>
        <w:jc w:val="both"/>
        <w:rPr>
          <w:rFonts w:ascii="Times New Roman" w:hAnsi="Times New Roman"/>
          <w:sz w:val="22"/>
          <w:szCs w:val="22"/>
        </w:rPr>
      </w:pPr>
      <w:r>
        <w:rPr>
          <w:rFonts w:ascii="Times New Roman" w:hAnsi="Times New Roman"/>
          <w:sz w:val="22"/>
          <w:szCs w:val="22"/>
        </w:rPr>
        <w:t xml:space="preserve">рішенням суду на вимогу однієї із сторін у разі істотного порушення договору іншою стороною та в інших випадках, встановлених договором або законом. </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11.5. Припинення дії цього договору не звільняє сторони від обов’язку виконання зобов’язань, які на дату такого припинення залишилися невиконаними.</w:t>
      </w:r>
    </w:p>
    <w:p>
      <w:pPr>
        <w:pStyle w:val="Style18"/>
        <w:spacing w:before="120" w:after="0"/>
        <w:contextualSpacing/>
        <w:jc w:val="both"/>
        <w:rPr>
          <w:rFonts w:ascii="Times New Roman" w:hAnsi="Times New Roman"/>
          <w:sz w:val="22"/>
          <w:szCs w:val="22"/>
        </w:rPr>
      </w:pPr>
      <w:r>
        <w:rPr>
          <w:rFonts w:ascii="Times New Roman" w:hAnsi="Times New Roman"/>
          <w:sz w:val="22"/>
          <w:szCs w:val="22"/>
        </w:rPr>
      </w:r>
    </w:p>
    <w:p>
      <w:pPr>
        <w:pStyle w:val="Style18"/>
        <w:spacing w:before="120" w:after="0"/>
        <w:contextualSpacing/>
        <w:jc w:val="center"/>
        <w:rPr>
          <w:rFonts w:ascii="Times New Roman" w:hAnsi="Times New Roman"/>
          <w:b/>
          <w:b/>
          <w:sz w:val="22"/>
          <w:szCs w:val="22"/>
        </w:rPr>
      </w:pPr>
      <w:r>
        <w:rPr>
          <w:rFonts w:ascii="Times New Roman" w:hAnsi="Times New Roman"/>
          <w:b/>
          <w:sz w:val="22"/>
          <w:szCs w:val="22"/>
        </w:rPr>
        <w:t>12. Прикінцеві положення</w:t>
      </w:r>
    </w:p>
    <w:p>
      <w:pPr>
        <w:pStyle w:val="Style18"/>
        <w:spacing w:before="120" w:after="0"/>
        <w:contextualSpacing/>
        <w:jc w:val="both"/>
        <w:rPr>
          <w:rFonts w:ascii="Times New Roman" w:hAnsi="Times New Roman"/>
          <w:sz w:val="22"/>
          <w:szCs w:val="22"/>
        </w:rPr>
      </w:pPr>
      <w:r>
        <w:rPr>
          <w:rFonts w:ascii="Times New Roman" w:hAnsi="Times New Roman"/>
          <w:sz w:val="22"/>
          <w:szCs w:val="22"/>
        </w:rPr>
        <w:t>12.1.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pPr>
        <w:pStyle w:val="Style18"/>
        <w:spacing w:before="120" w:after="0"/>
        <w:contextualSpacing/>
        <w:jc w:val="both"/>
        <w:rPr>
          <w:rFonts w:ascii="Times New Roman" w:hAnsi="Times New Roman"/>
          <w:sz w:val="22"/>
          <w:szCs w:val="22"/>
        </w:rPr>
      </w:pPr>
      <w:r>
        <w:rPr>
          <w:rFonts w:ascii="Times New Roman" w:hAnsi="Times New Roman"/>
          <w:sz w:val="22"/>
          <w:szCs w:val="22"/>
        </w:rPr>
        <w:t xml:space="preserve">12.2. Повідомлення, документи та інформацію, що передбачені цим договором,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нерухомого майна споживача або іншими засобами зв’язку, зазначеними споживачем. </w:t>
      </w:r>
    </w:p>
    <w:p>
      <w:pPr>
        <w:pStyle w:val="Normal"/>
        <w:rPr>
          <w:rFonts w:ascii="Times New Roman" w:hAnsi="Times New Roman"/>
          <w:b/>
          <w:b/>
          <w:sz w:val="24"/>
          <w:szCs w:val="24"/>
        </w:rPr>
      </w:pPr>
      <w:r>
        <w:rPr>
          <w:rFonts w:ascii="Times New Roman" w:hAnsi="Times New Roman"/>
          <w:b/>
          <w:sz w:val="24"/>
          <w:szCs w:val="24"/>
        </w:rPr>
      </w:r>
      <w:r>
        <w:br w:type="page"/>
      </w:r>
    </w:p>
    <w:p>
      <w:pPr>
        <w:pStyle w:val="Normal"/>
        <w:rPr>
          <w:rFonts w:ascii="Times New Roman" w:hAnsi="Times New Roman"/>
          <w:b/>
          <w:b/>
          <w:sz w:val="24"/>
          <w:szCs w:val="24"/>
        </w:rPr>
      </w:pPr>
      <w:r>
        <w:rPr>
          <w:rFonts w:ascii="Times New Roman" w:hAnsi="Times New Roman"/>
          <w:b/>
          <w:sz w:val="24"/>
          <w:szCs w:val="24"/>
        </w:rPr>
      </w:r>
    </w:p>
    <w:p>
      <w:pPr>
        <w:pStyle w:val="Normal"/>
        <w:jc w:val="center"/>
        <w:rPr>
          <w:rFonts w:ascii="Times New Roman" w:hAnsi="Times New Roman"/>
          <w:b/>
          <w:b/>
          <w:sz w:val="24"/>
          <w:szCs w:val="24"/>
        </w:rPr>
      </w:pPr>
      <w:r>
        <w:rPr>
          <w:rFonts w:ascii="Times New Roman" w:hAnsi="Times New Roman"/>
          <w:b/>
          <w:sz w:val="24"/>
          <w:szCs w:val="24"/>
        </w:rPr>
        <w:t>РЕКВІЗИТИ ВИКОНАВЦЯ</w:t>
      </w:r>
    </w:p>
    <w:p>
      <w:pPr>
        <w:pStyle w:val="Normal"/>
        <w:rPr>
          <w:rFonts w:ascii="Times New Roman" w:hAnsi="Times New Roman"/>
          <w:sz w:val="24"/>
          <w:szCs w:val="24"/>
        </w:rPr>
      </w:pPr>
      <w:r>
        <w:rPr>
          <w:rFonts w:ascii="Times New Roman" w:hAnsi="Times New Roman"/>
          <w:sz w:val="24"/>
          <w:szCs w:val="24"/>
        </w:rPr>
      </w:r>
    </w:p>
    <w:tbl>
      <w:tblPr>
        <w:tblW w:w="37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849"/>
      </w:tblGrid>
      <w:tr>
        <w:trPr>
          <w:trHeight w:val="1508" w:hRule="atLeast"/>
        </w:trPr>
        <w:tc>
          <w:tcPr>
            <w:tcW w:w="7849" w:type="dxa"/>
            <w:tcBorders/>
          </w:tcPr>
          <w:p>
            <w:pPr>
              <w:pStyle w:val="Normal"/>
              <w:widowControl w:val="false"/>
              <w:rPr/>
            </w:pPr>
            <w:r>
              <w:rPr>
                <w:rFonts w:ascii="Times New Roman" w:hAnsi="Times New Roman"/>
                <w:color w:val="000000"/>
              </w:rPr>
              <w:t>Луцьке спеціальне комунальне автотранспортне підприємство „Луцькспецкомунтранс", в особі директора Марценюка Володимира Віталійовича, що діє на підставі Статуту, що затверджений рішенням Луцької міської ради від 29.09.2021 року № 19/87</w:t>
            </w:r>
          </w:p>
        </w:tc>
      </w:tr>
      <w:tr>
        <w:trPr>
          <w:trHeight w:val="578" w:hRule="atLeast"/>
        </w:trPr>
        <w:tc>
          <w:tcPr>
            <w:tcW w:w="7849" w:type="dxa"/>
            <w:tcBorders/>
          </w:tcPr>
          <w:p>
            <w:pPr>
              <w:pStyle w:val="Normal"/>
              <w:widowControl w:val="false"/>
              <w:rPr>
                <w:rFonts w:ascii="Times New Roman" w:hAnsi="Times New Roman" w:eastAsia="Calibri"/>
                <w:color w:val="292B2C"/>
                <w:sz w:val="24"/>
                <w:szCs w:val="24"/>
                <w:lang w:eastAsia="uk-UA"/>
              </w:rPr>
            </w:pPr>
            <w:r>
              <w:rPr>
                <w:rFonts w:eastAsia="Calibri" w:ascii="Times New Roman" w:hAnsi="Times New Roman"/>
                <w:sz w:val="24"/>
                <w:szCs w:val="24"/>
              </w:rPr>
              <w:t>код згідно з ЄДРПОУ 30659101</w:t>
            </w:r>
          </w:p>
        </w:tc>
      </w:tr>
      <w:tr>
        <w:trPr>
          <w:trHeight w:val="380" w:hRule="atLeast"/>
        </w:trPr>
        <w:tc>
          <w:tcPr>
            <w:tcW w:w="7849" w:type="dxa"/>
            <w:tcBorders/>
          </w:tcPr>
          <w:p>
            <w:pPr>
              <w:pStyle w:val="Normal"/>
              <w:widowControl w:val="false"/>
              <w:rPr>
                <w:rFonts w:ascii="Times New Roman" w:hAnsi="Times New Roman" w:eastAsia="Calibri"/>
                <w:sz w:val="24"/>
                <w:szCs w:val="24"/>
                <w:lang w:eastAsia="en-US"/>
              </w:rPr>
            </w:pPr>
            <w:r>
              <w:rPr>
                <w:rFonts w:eastAsia="Calibri" w:ascii="Times New Roman" w:hAnsi="Times New Roman"/>
                <w:sz w:val="24"/>
                <w:szCs w:val="24"/>
              </w:rPr>
              <w:t>Місцезнаходження: 43010, Волинська обл., м. Луцьк, вул. Дубнівська, 64</w:t>
            </w:r>
          </w:p>
        </w:tc>
      </w:tr>
      <w:tr>
        <w:trPr>
          <w:trHeight w:val="2922" w:hRule="atLeast"/>
        </w:trPr>
        <w:tc>
          <w:tcPr>
            <w:tcW w:w="7849" w:type="dxa"/>
            <w:tcBorders/>
          </w:tcPr>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rPr>
              <w:t>р/р UA733033980000000260053012342</w:t>
            </w:r>
          </w:p>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rPr>
              <w:t>у філії ВОУ ВАТ «Ощадбанк», МФО 303398</w:t>
            </w:r>
          </w:p>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rPr>
              <w:t>номери телефонів:</w:t>
            </w:r>
          </w:p>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rPr>
              <w:t>Приймальна – (0332) 24-54-51</w:t>
            </w:r>
          </w:p>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rPr>
              <w:t>Договірний відділ – (0332) 24-55-27</w:t>
            </w:r>
          </w:p>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lang w:val="en-US"/>
              </w:rPr>
              <w:t>Viber</w:t>
            </w:r>
            <w:r>
              <w:rPr>
                <w:rFonts w:eastAsia="Calibri" w:ascii="Times New Roman" w:hAnsi="Times New Roman"/>
                <w:sz w:val="24"/>
                <w:szCs w:val="24"/>
              </w:rPr>
              <w:t xml:space="preserve"> – 099 624 55 27</w:t>
            </w:r>
          </w:p>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rPr>
              <w:t>Диспетчер – (0332) 24-54-48</w:t>
            </w:r>
          </w:p>
          <w:p>
            <w:pPr>
              <w:pStyle w:val="Normal"/>
              <w:widowControl w:val="false"/>
              <w:spacing w:before="60" w:after="0"/>
              <w:rPr>
                <w:rFonts w:ascii="Times New Roman" w:hAnsi="Times New Roman" w:eastAsia="Calibri"/>
                <w:sz w:val="24"/>
                <w:szCs w:val="24"/>
              </w:rPr>
            </w:pPr>
            <w:r>
              <w:rPr>
                <w:rFonts w:eastAsia="Calibri" w:ascii="Times New Roman" w:hAnsi="Times New Roman"/>
                <w:sz w:val="24"/>
                <w:szCs w:val="24"/>
              </w:rPr>
              <w:t>адреса електронної пошти: Lskap@ukr.net</w:t>
            </w:r>
          </w:p>
          <w:p>
            <w:pPr>
              <w:pStyle w:val="Normal"/>
              <w:widowControl w:val="false"/>
              <w:spacing w:before="60" w:after="0"/>
              <w:rPr>
                <w:rFonts w:ascii="Times New Roman" w:hAnsi="Times New Roman" w:eastAsia="Calibri"/>
                <w:sz w:val="24"/>
                <w:szCs w:val="24"/>
                <w:lang w:eastAsia="en-US"/>
              </w:rPr>
            </w:pPr>
            <w:r>
              <w:rPr>
                <w:rFonts w:eastAsia="Calibri" w:ascii="Times New Roman" w:hAnsi="Times New Roman"/>
                <w:sz w:val="24"/>
                <w:szCs w:val="24"/>
              </w:rPr>
              <w:t xml:space="preserve">офіційний веб-сайт Луцької міської ради: </w:t>
            </w:r>
            <w:hyperlink r:id="rId3">
              <w:r>
                <w:rPr>
                  <w:rFonts w:eastAsia="Calibri" w:ascii="Times New Roman" w:hAnsi="Times New Roman"/>
                  <w:sz w:val="24"/>
                  <w:szCs w:val="24"/>
                </w:rPr>
                <w:t>https://www.lutskrada.gov.ua</w:t>
              </w:r>
            </w:hyperlink>
          </w:p>
        </w:tc>
      </w:tr>
    </w:tbl>
    <w:p>
      <w:pPr>
        <w:pStyle w:val="Style18"/>
        <w:rPr>
          <w:rFonts w:ascii="Times New Roman" w:hAnsi="Times New Roman"/>
          <w:sz w:val="24"/>
          <w:szCs w:val="24"/>
        </w:rPr>
      </w:pPr>
      <w:r>
        <w:rPr>
          <w:rFonts w:ascii="Times New Roman" w:hAnsi="Times New Roman"/>
          <w:sz w:val="24"/>
          <w:szCs w:val="24"/>
        </w:rPr>
      </w:r>
    </w:p>
    <w:p>
      <w:pPr>
        <w:pStyle w:val="Style18"/>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r>
        <w:br w:type="page"/>
      </w:r>
    </w:p>
    <w:p>
      <w:pPr>
        <w:pStyle w:val="Style18"/>
        <w:spacing w:before="0" w:after="0"/>
        <w:ind w:hanging="0"/>
        <w:contextualSpacing/>
        <w:jc w:val="right"/>
        <w:rPr>
          <w:rFonts w:ascii="Times New Roman" w:hAnsi="Times New Roman"/>
          <w:sz w:val="22"/>
          <w:szCs w:val="22"/>
        </w:rPr>
      </w:pPr>
      <w:r>
        <w:rPr>
          <w:rFonts w:ascii="Times New Roman" w:hAnsi="Times New Roman"/>
          <w:sz w:val="22"/>
          <w:szCs w:val="22"/>
        </w:rPr>
      </w:r>
    </w:p>
    <w:p>
      <w:pPr>
        <w:pStyle w:val="Style18"/>
        <w:spacing w:before="0" w:after="0"/>
        <w:ind w:hanging="0"/>
        <w:contextualSpacing/>
        <w:jc w:val="right"/>
        <w:rPr>
          <w:rFonts w:ascii="Times New Roman" w:hAnsi="Times New Roman"/>
          <w:i/>
          <w:i/>
          <w:sz w:val="22"/>
          <w:szCs w:val="22"/>
        </w:rPr>
      </w:pPr>
      <w:r>
        <w:rPr>
          <w:rFonts w:ascii="Times New Roman" w:hAnsi="Times New Roman"/>
          <w:i/>
          <w:sz w:val="22"/>
          <w:szCs w:val="22"/>
        </w:rPr>
        <w:t>Додаток до</w:t>
      </w:r>
    </w:p>
    <w:p>
      <w:pPr>
        <w:pStyle w:val="Style18"/>
        <w:spacing w:before="0" w:after="0"/>
        <w:ind w:hanging="0"/>
        <w:contextualSpacing/>
        <w:jc w:val="right"/>
        <w:rPr>
          <w:rFonts w:ascii="Times New Roman" w:hAnsi="Times New Roman"/>
          <w:i/>
          <w:i/>
          <w:sz w:val="22"/>
          <w:szCs w:val="22"/>
        </w:rPr>
      </w:pPr>
      <w:r>
        <w:rPr>
          <w:rFonts w:ascii="Times New Roman" w:hAnsi="Times New Roman"/>
          <w:i/>
          <w:sz w:val="22"/>
          <w:szCs w:val="22"/>
        </w:rPr>
        <w:t>Типового індивідуального договору</w:t>
      </w:r>
    </w:p>
    <w:p>
      <w:pPr>
        <w:pStyle w:val="Style18"/>
        <w:spacing w:before="0" w:after="0"/>
        <w:ind w:hanging="0"/>
        <w:contextualSpacing/>
        <w:jc w:val="right"/>
        <w:rPr>
          <w:rFonts w:ascii="Times New Roman" w:hAnsi="Times New Roman"/>
          <w:i/>
          <w:i/>
          <w:sz w:val="22"/>
          <w:szCs w:val="22"/>
        </w:rPr>
      </w:pPr>
      <w:r>
        <w:rPr>
          <w:rFonts w:ascii="Times New Roman" w:hAnsi="Times New Roman"/>
          <w:i/>
          <w:sz w:val="22"/>
          <w:szCs w:val="22"/>
        </w:rPr>
        <w:t xml:space="preserve"> </w:t>
      </w:r>
      <w:r>
        <w:rPr>
          <w:rFonts w:ascii="Times New Roman" w:hAnsi="Times New Roman"/>
          <w:i/>
          <w:sz w:val="22"/>
          <w:szCs w:val="22"/>
        </w:rPr>
        <w:t>про надання послуг з поводження з побутовими відходами</w:t>
      </w:r>
    </w:p>
    <w:p>
      <w:pPr>
        <w:pStyle w:val="Style26"/>
        <w:spacing w:lineRule="auto" w:line="228" w:before="120" w:after="120"/>
        <w:rPr>
          <w:rFonts w:ascii="Times New Roman" w:hAnsi="Times New Roman"/>
          <w:sz w:val="24"/>
          <w:szCs w:val="24"/>
        </w:rPr>
      </w:pPr>
      <w:r>
        <w:rPr>
          <w:rFonts w:ascii="Times New Roman" w:hAnsi="Times New Roman"/>
          <w:sz w:val="24"/>
          <w:szCs w:val="24"/>
        </w:rPr>
      </w:r>
    </w:p>
    <w:p>
      <w:pPr>
        <w:pStyle w:val="Style26"/>
        <w:spacing w:lineRule="auto" w:line="228" w:before="120" w:after="120"/>
        <w:rPr>
          <w:rFonts w:ascii="Times New Roman" w:hAnsi="Times New Roman"/>
          <w:sz w:val="24"/>
          <w:szCs w:val="24"/>
        </w:rPr>
      </w:pPr>
      <w:r>
        <w:rPr>
          <w:rFonts w:ascii="Times New Roman" w:hAnsi="Times New Roman"/>
          <w:sz w:val="24"/>
          <w:szCs w:val="24"/>
        </w:rPr>
        <w:t>ЗАЯВА-ПРИЄДНАННЯ</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Ознайомившись з умовами договору про надання послуги з поводження з побутовими відходами, розміщеного на веб-сайті Луцької міської ради за посиланням: https://www.lutskrada.gov.ua приєднуюсь до договору про надання послуг з поводження з побутовими відходами з Луцьким спеціальним комунальним автотранспортним підприємством «Луцькспецкомунтранс» з такими даними.</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1. Інформація про споживача:</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1) найменування/прізвище, ім’я</w:t>
      </w:r>
      <w:r>
        <w:rPr>
          <w:rFonts w:ascii="Times New Roman" w:hAnsi="Times New Roman"/>
          <w:sz w:val="24"/>
          <w:szCs w:val="24"/>
          <w:lang w:val="ru-RU"/>
        </w:rPr>
        <w:t xml:space="preserve"> </w:t>
      </w:r>
      <w:r>
        <w:rPr>
          <w:rFonts w:ascii="Times New Roman" w:hAnsi="Times New Roman"/>
          <w:sz w:val="24"/>
          <w:szCs w:val="24"/>
        </w:rPr>
        <w:t>та по батькові (за наявності) 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________________________________________________________________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адреса ________________________________________________________________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номер телефону ________________________________________________________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2) адреса приміщення споживача:</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вулиця 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номер будинку __________ номер квартири (приміщення) 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населений пункт 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район _____________________________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область 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індекс ____________________________;</w:t>
      </w:r>
    </w:p>
    <w:p>
      <w:pPr>
        <w:pStyle w:val="Style18"/>
        <w:spacing w:lineRule="auto" w:line="360" w:before="0" w:after="0"/>
        <w:ind w:firstLine="720"/>
        <w:jc w:val="both"/>
        <w:rPr>
          <w:rFonts w:ascii="Times New Roman" w:hAnsi="Times New Roman"/>
          <w:sz w:val="24"/>
          <w:szCs w:val="24"/>
        </w:rPr>
      </w:pPr>
      <w:r>
        <w:rPr>
          <w:rFonts w:ascii="Times New Roman" w:hAnsi="Times New Roman"/>
          <w:sz w:val="24"/>
          <w:szCs w:val="24"/>
        </w:rPr>
        <w:t>3) кількість зареєстрованих осіб у квартирі (приміщенні) споживача ___________.</w:t>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r>
    </w:p>
    <w:p>
      <w:pPr>
        <w:pStyle w:val="Style18"/>
        <w:spacing w:lineRule="auto" w:line="228" w:before="100" w:after="0"/>
        <w:jc w:val="both"/>
        <w:rPr>
          <w:rFonts w:ascii="Times New Roman" w:hAnsi="Times New Roman"/>
          <w:sz w:val="24"/>
          <w:szCs w:val="24"/>
        </w:rPr>
      </w:pPr>
      <w:r>
        <w:rPr>
          <w:rFonts w:ascii="Times New Roman" w:hAnsi="Times New Roman"/>
          <w:sz w:val="24"/>
          <w:szCs w:val="24"/>
        </w:rPr>
        <w:t>Відмітка про підписання споживачем цієї заяви-приєднання:</w:t>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766"/>
        <w:gridCol w:w="3339"/>
        <w:gridCol w:w="3182"/>
      </w:tblGrid>
      <w:tr>
        <w:trPr/>
        <w:tc>
          <w:tcPr>
            <w:tcW w:w="2766" w:type="dxa"/>
            <w:tcBorders/>
          </w:tcPr>
          <w:p>
            <w:pPr>
              <w:pStyle w:val="Normal"/>
              <w:widowControl w:val="false"/>
              <w:spacing w:lineRule="auto" w:line="228" w:before="240" w:after="0"/>
              <w:jc w:val="center"/>
              <w:rPr>
                <w:rFonts w:ascii="Times New Roman" w:hAnsi="Times New Roman" w:eastAsia="Calibri"/>
                <w:sz w:val="24"/>
                <w:szCs w:val="24"/>
                <w:lang w:eastAsia="en-US"/>
              </w:rPr>
            </w:pPr>
            <w:r>
              <w:rPr>
                <w:rFonts w:eastAsia="Calibri" w:ascii="Times New Roman" w:hAnsi="Times New Roman"/>
                <w:sz w:val="24"/>
                <w:szCs w:val="24"/>
              </w:rPr>
              <w:t>______________</w:t>
              <w:br/>
              <w:t>(дата)</w:t>
            </w:r>
          </w:p>
        </w:tc>
        <w:tc>
          <w:tcPr>
            <w:tcW w:w="3339" w:type="dxa"/>
            <w:tcBorders/>
          </w:tcPr>
          <w:p>
            <w:pPr>
              <w:pStyle w:val="Normal"/>
              <w:widowControl w:val="false"/>
              <w:spacing w:lineRule="auto" w:line="228" w:before="240" w:after="0"/>
              <w:jc w:val="center"/>
              <w:rPr>
                <w:rFonts w:ascii="Times New Roman" w:hAnsi="Times New Roman" w:eastAsia="Calibri"/>
                <w:sz w:val="24"/>
                <w:szCs w:val="24"/>
                <w:lang w:eastAsia="en-US"/>
              </w:rPr>
            </w:pPr>
            <w:r>
              <w:rPr>
                <w:rFonts w:eastAsia="Calibri" w:ascii="Times New Roman" w:hAnsi="Times New Roman"/>
                <w:sz w:val="24"/>
                <w:szCs w:val="24"/>
              </w:rPr>
              <w:t>_________________________</w:t>
              <w:br/>
              <w:t>(особистий підпис)</w:t>
            </w:r>
          </w:p>
        </w:tc>
        <w:tc>
          <w:tcPr>
            <w:tcW w:w="3182" w:type="dxa"/>
            <w:tcBorders/>
          </w:tcPr>
          <w:p>
            <w:pPr>
              <w:pStyle w:val="Normal"/>
              <w:widowControl w:val="false"/>
              <w:spacing w:lineRule="auto" w:line="228" w:before="240" w:after="0"/>
              <w:jc w:val="center"/>
              <w:rPr>
                <w:rFonts w:ascii="Times New Roman" w:hAnsi="Times New Roman" w:eastAsia="Calibri"/>
                <w:sz w:val="24"/>
                <w:szCs w:val="24"/>
                <w:lang w:eastAsia="en-US"/>
              </w:rPr>
            </w:pPr>
            <w:r>
              <w:rPr>
                <w:rFonts w:eastAsia="Calibri" w:ascii="Times New Roman" w:hAnsi="Times New Roman"/>
                <w:sz w:val="24"/>
                <w:szCs w:val="24"/>
              </w:rPr>
              <w:t>______________________</w:t>
              <w:br/>
              <w:t xml:space="preserve">(прізвище, ім’я та по батькові </w:t>
              <w:br/>
            </w:r>
            <w:r>
              <w:rPr>
                <w:rFonts w:ascii="Times New Roman" w:hAnsi="Times New Roman"/>
                <w:sz w:val="24"/>
                <w:szCs w:val="24"/>
              </w:rPr>
              <w:t>(за наявності)</w:t>
            </w:r>
          </w:p>
        </w:tc>
      </w:tr>
    </w:tbl>
    <w:p>
      <w:pPr>
        <w:pStyle w:val="Style18"/>
        <w:spacing w:lineRule="auto" w:line="228" w:before="240" w:after="0"/>
        <w:jc w:val="both"/>
        <w:rPr>
          <w:rFonts w:ascii="Times New Roman" w:hAnsi="Times New Roman"/>
          <w:i/>
          <w:i/>
          <w:sz w:val="24"/>
          <w:szCs w:val="24"/>
        </w:rPr>
      </w:pPr>
      <w:r>
        <w:rPr>
          <w:rFonts w:ascii="Times New Roman" w:hAnsi="Times New Roman"/>
          <w:i/>
          <w:sz w:val="24"/>
          <w:szCs w:val="24"/>
        </w:rPr>
        <w:t>Своїм підписом споживач підтверджує згоду на автоматизовану обробку його персональних даних згідно із законодавством та можливу їх передачу третім особам, які мають право на отримання цих даних згідно із законодавством, зокрема щодо кількісних та/або вартісних обсягів наданих за договором послуг.”.</w:t>
      </w:r>
    </w:p>
    <w:sectPr>
      <w:headerReference w:type="even" r:id="rId4"/>
      <w:headerReference w:type="default" r:id="rId5"/>
      <w:type w:val="nextPage"/>
      <w:pgSz w:w="11906" w:h="16838"/>
      <w:pgMar w:left="720" w:right="720" w:gutter="0" w:header="567" w:top="720" w:footer="0" w:bottom="720"/>
      <w:pgNumType w:fmt="decimal"/>
      <w:formProt w:val="false"/>
      <w:titlePg/>
      <w:textDirection w:val="lrTb"/>
      <w:docGrid w:type="default" w:linePitch="3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ntiqua">
    <w:charset w:val="cc"/>
    <w:family w:val="roman"/>
    <w:pitch w:val="variable"/>
  </w:font>
  <w:font w:name="Liberation Sans">
    <w:altName w:val="Arial"/>
    <w:charset w:val="cc"/>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Рам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0</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Normal"/>
                      <w:pBdr/>
                      <w:rPr/>
                    </w:pPr>
                    <w:r>
                      <w:rPr/>
                      <w:fldChar w:fldCharType="begin"/>
                    </w:r>
                    <w:r>
                      <w:rPr/>
                      <w:instrText xml:space="preserve"> PAGE </w:instrText>
                    </w:r>
                    <w:r>
                      <w:rPr/>
                      <w:fldChar w:fldCharType="separate"/>
                    </w:r>
                    <w:r>
                      <w:rPr/>
                      <w:t>0</w:t>
                    </w:r>
                    <w: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r>
      <mc:AlternateContent>
        <mc:Choice Requires="wps">
          <w:drawing>
            <wp:anchor behindDoc="0" distT="0" distB="0" distL="0" distR="0" simplePos="0" locked="0" layoutInCell="0" allowOverlap="1" relativeHeight="7">
              <wp:simplePos x="0" y="0"/>
              <wp:positionH relativeFrom="margin">
                <wp:align>center</wp:align>
              </wp:positionH>
              <wp:positionV relativeFrom="paragraph">
                <wp:posOffset>635</wp:posOffset>
              </wp:positionV>
              <wp:extent cx="83185" cy="189865"/>
              <wp:effectExtent l="0" t="0" r="0" b="0"/>
              <wp:wrapSquare wrapText="bothSides"/>
              <wp:docPr id="2" name="Рамка2"/>
              <a:graphic xmlns:a="http://schemas.openxmlformats.org/drawingml/2006/main">
                <a:graphicData uri="http://schemas.microsoft.com/office/word/2010/wordprocessingShape">
                  <wps:wsp>
                    <wps:cNvSpPr txBox="1"/>
                    <wps:spPr>
                      <a:xfrm>
                        <a:off x="0" y="0"/>
                        <a:ext cx="83185" cy="189865"/>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7</w:t>
                          </w:r>
                          <w:r>
                            <w:rPr/>
                            <w:fldChar w:fldCharType="end"/>
                          </w:r>
                        </w:p>
                      </w:txbxContent>
                    </wps:txbx>
                    <wps:bodyPr anchor="t" lIns="0" tIns="0" rIns="0" bIns="0">
                      <a:spAutoFit/>
                    </wps:bodyPr>
                  </wps:wsp>
                </a:graphicData>
              </a:graphic>
            </wp:anchor>
          </w:drawing>
        </mc:Choice>
        <mc:Fallback>
          <w:pict>
            <v:rect fillcolor="#FFFFFF" style="position:absolute;rotation:-0;width:6.55pt;height:14.95pt;mso-wrap-distance-left:0pt;mso-wrap-distance-right:0pt;mso-wrap-distance-top:0pt;mso-wrap-distance-bottom:0pt;margin-top:0.05pt;mso-position-vertical-relative:text;margin-left:258.4pt;mso-position-horizontal:center;mso-position-horizontal-relative:margin">
              <v:fill opacity="0f"/>
              <v:textbox inset="0in,0in,0in,0in">
                <w:txbxContent>
                  <w:p>
                    <w:pPr>
                      <w:pStyle w:val="Normal"/>
                      <w:pBdr/>
                      <w:rPr/>
                    </w:pPr>
                    <w:r>
                      <w:rPr/>
                      <w:fldChar w:fldCharType="begin"/>
                    </w:r>
                    <w:r>
                      <w:rPr/>
                      <w:instrText xml:space="preserve"> PAGE </w:instrText>
                    </w:r>
                    <w:r>
                      <w:rPr/>
                      <w:fldChar w:fldCharType="separate"/>
                    </w:r>
                    <w:r>
                      <w:rPr/>
                      <w:t>7</w:t>
                    </w:r>
                    <w: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6"/>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spacing w:before="0" w:after="0"/>
      <w:jc w:val="left"/>
    </w:pPr>
    <w:rPr>
      <w:rFonts w:ascii="Antiqua" w:hAnsi="Antiqua" w:eastAsia="Times New Roman" w:cs="Times New Roman"/>
      <w:color w:val="auto"/>
      <w:kern w:val="0"/>
      <w:sz w:val="26"/>
      <w:szCs w:val="20"/>
      <w:lang w:val="uk-UA" w:eastAsia="ru-RU" w:bidi="ar-SA"/>
    </w:rPr>
  </w:style>
  <w:style w:type="paragraph" w:styleId="1">
    <w:name w:val="Heading 1"/>
    <w:basedOn w:val="Normal"/>
    <w:next w:val="Normal"/>
    <w:qFormat/>
    <w:pPr>
      <w:keepNext w:val="true"/>
      <w:spacing w:before="240" w:after="0"/>
      <w:ind w:left="567" w:hanging="0"/>
      <w:outlineLvl w:val="0"/>
    </w:pPr>
    <w:rPr>
      <w:b/>
      <w:smallCaps/>
      <w:sz w:val="28"/>
    </w:rPr>
  </w:style>
  <w:style w:type="paragraph" w:styleId="2">
    <w:name w:val="Heading 2"/>
    <w:basedOn w:val="Normal"/>
    <w:next w:val="Normal"/>
    <w:qFormat/>
    <w:pPr>
      <w:keepNext w:val="true"/>
      <w:spacing w:before="120" w:after="0"/>
      <w:ind w:left="567" w:hanging="0"/>
      <w:outlineLvl w:val="1"/>
    </w:pPr>
    <w:rPr>
      <w:b/>
    </w:rPr>
  </w:style>
  <w:style w:type="paragraph" w:styleId="3">
    <w:name w:val="Heading 3"/>
    <w:basedOn w:val="Normal"/>
    <w:next w:val="Normal"/>
    <w:link w:val="31"/>
    <w:qFormat/>
    <w:pPr>
      <w:keepNext w:val="true"/>
      <w:spacing w:before="120" w:after="0"/>
      <w:ind w:left="567" w:hanging="0"/>
      <w:outlineLvl w:val="2"/>
    </w:pPr>
    <w:rPr>
      <w:b/>
      <w:i/>
    </w:rPr>
  </w:style>
  <w:style w:type="paragraph" w:styleId="4">
    <w:name w:val="Heading 4"/>
    <w:basedOn w:val="Normal"/>
    <w:next w:val="Normal"/>
    <w:qFormat/>
    <w:pPr>
      <w:keepNext w:val="true"/>
      <w:spacing w:before="120" w:after="0"/>
      <w:ind w:left="567" w:hanging="0"/>
      <w:outlineLvl w:val="3"/>
    </w:pPr>
    <w:rPr/>
  </w:style>
  <w:style w:type="character" w:styleId="DefaultParagraphFont" w:default="1">
    <w:name w:val="Default Paragraph Font"/>
    <w:uiPriority w:val="1"/>
    <w:semiHidden/>
    <w:unhideWhenUsed/>
    <w:qFormat/>
    <w:rPr/>
  </w:style>
  <w:style w:type="character" w:styleId="31" w:customStyle="1">
    <w:name w:val="Заголовок 3 Знак"/>
    <w:qFormat/>
    <w:rsid w:val="00f03953"/>
    <w:rPr>
      <w:rFonts w:ascii="Antiqua" w:hAnsi="Antiqua"/>
      <w:b/>
      <w:i/>
      <w:sz w:val="26"/>
      <w:lang w:eastAsia="ru-RU"/>
    </w:rPr>
  </w:style>
  <w:style w:type="character" w:styleId="St121" w:customStyle="1">
    <w:name w:val="st121"/>
    <w:uiPriority w:val="99"/>
    <w:qFormat/>
    <w:rsid w:val="00826049"/>
    <w:rPr>
      <w:i/>
      <w:iCs/>
      <w:color w:val="000000"/>
    </w:rPr>
  </w:style>
  <w:style w:type="character" w:styleId="St131" w:customStyle="1">
    <w:name w:val="st131"/>
    <w:uiPriority w:val="99"/>
    <w:qFormat/>
    <w:rsid w:val="00826049"/>
    <w:rPr>
      <w:i/>
      <w:iCs/>
      <w:color w:val="0000FF"/>
    </w:rPr>
  </w:style>
  <w:style w:type="character" w:styleId="Style10">
    <w:name w:val="Гіперпосилання"/>
    <w:basedOn w:val="DefaultParagraphFont"/>
    <w:rsid w:val="00e21708"/>
    <w:rPr>
      <w:color w:val="0563C1"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Покажчик"/>
    <w:basedOn w:val="Normal"/>
    <w:qFormat/>
    <w:pPr>
      <w:suppressLineNumbers/>
    </w:pPr>
    <w:rPr>
      <w:rFonts w:cs="Lucida Sans"/>
      <w:lang w:val="zxx" w:eastAsia="zxx" w:bidi="zxx"/>
    </w:rPr>
  </w:style>
  <w:style w:type="paragraph" w:styleId="Style16">
    <w:name w:val="Верхній і нижній колонтитули"/>
    <w:basedOn w:val="Normal"/>
    <w:qFormat/>
    <w:pPr/>
    <w:rPr/>
  </w:style>
  <w:style w:type="paragraph" w:styleId="Style17">
    <w:name w:val="Footer"/>
    <w:basedOn w:val="Normal"/>
    <w:pPr>
      <w:tabs>
        <w:tab w:val="clear" w:pos="720"/>
        <w:tab w:val="center" w:pos="4153" w:leader="none"/>
        <w:tab w:val="right" w:pos="8306" w:leader="none"/>
      </w:tabs>
    </w:pPr>
    <w:rPr/>
  </w:style>
  <w:style w:type="paragraph" w:styleId="Style18" w:customStyle="1">
    <w:name w:val="Нормальний текст"/>
    <w:basedOn w:val="Normal"/>
    <w:qFormat/>
    <w:pPr>
      <w:spacing w:before="120" w:after="0"/>
      <w:ind w:firstLine="567"/>
    </w:pPr>
    <w:rPr/>
  </w:style>
  <w:style w:type="paragraph" w:styleId="Style19" w:customStyle="1">
    <w:name w:val="Шапка документу"/>
    <w:basedOn w:val="Normal"/>
    <w:qFormat/>
    <w:pPr>
      <w:keepNext w:val="true"/>
      <w:keepLines/>
      <w:spacing w:before="0" w:after="240"/>
      <w:ind w:left="4536" w:hanging="0"/>
      <w:jc w:val="center"/>
    </w:pPr>
    <w:rPr/>
  </w:style>
  <w:style w:type="paragraph" w:styleId="Style20">
    <w:name w:val="Header"/>
    <w:basedOn w:val="Normal"/>
    <w:pPr>
      <w:tabs>
        <w:tab w:val="clear" w:pos="720"/>
        <w:tab w:val="center" w:pos="4153" w:leader="none"/>
        <w:tab w:val="right" w:pos="8306" w:leader="none"/>
      </w:tabs>
    </w:pPr>
    <w:rPr/>
  </w:style>
  <w:style w:type="paragraph" w:styleId="11" w:customStyle="1">
    <w:name w:val="Підпис1"/>
    <w:basedOn w:val="Normal"/>
    <w:qFormat/>
    <w:pPr>
      <w:keepLines/>
      <w:tabs>
        <w:tab w:val="clear" w:pos="720"/>
        <w:tab w:val="center" w:pos="2268" w:leader="none"/>
        <w:tab w:val="left" w:pos="6804" w:leader="none"/>
      </w:tabs>
      <w:spacing w:before="360" w:after="0"/>
    </w:pPr>
    <w:rPr>
      <w:b/>
      <w:vertAlign w:val="subscript"/>
    </w:rPr>
  </w:style>
  <w:style w:type="paragraph" w:styleId="Style21" w:customStyle="1">
    <w:name w:val="Глава документу"/>
    <w:basedOn w:val="Normal"/>
    <w:next w:val="Normal"/>
    <w:qFormat/>
    <w:pPr>
      <w:keepNext w:val="true"/>
      <w:keepLines/>
      <w:spacing w:before="120" w:after="120"/>
      <w:jc w:val="center"/>
    </w:pPr>
    <w:rPr/>
  </w:style>
  <w:style w:type="paragraph" w:styleId="Style22" w:customStyle="1">
    <w:name w:val="Герб"/>
    <w:basedOn w:val="Normal"/>
    <w:qFormat/>
    <w:pPr>
      <w:keepNext w:val="true"/>
      <w:keepLines/>
      <w:jc w:val="center"/>
    </w:pPr>
    <w:rPr>
      <w:sz w:val="144"/>
      <w:lang w:val="en-US"/>
    </w:rPr>
  </w:style>
  <w:style w:type="paragraph" w:styleId="Style23" w:customStyle="1">
    <w:name w:val="Установа"/>
    <w:basedOn w:val="Normal"/>
    <w:qFormat/>
    <w:pPr>
      <w:keepNext w:val="true"/>
      <w:keepLines/>
      <w:spacing w:before="120" w:after="0"/>
      <w:jc w:val="center"/>
    </w:pPr>
    <w:rPr>
      <w:b/>
      <w:sz w:val="40"/>
    </w:rPr>
  </w:style>
  <w:style w:type="paragraph" w:styleId="Style24" w:customStyle="1">
    <w:name w:val="Вид документа"/>
    <w:basedOn w:val="Style23"/>
    <w:next w:val="Normal"/>
    <w:qFormat/>
    <w:pPr>
      <w:spacing w:before="360" w:after="240"/>
    </w:pPr>
    <w:rPr>
      <w:spacing w:val="20"/>
      <w:sz w:val="26"/>
    </w:rPr>
  </w:style>
  <w:style w:type="paragraph" w:styleId="Style25" w:customStyle="1">
    <w:name w:val="Час та місце"/>
    <w:basedOn w:val="Normal"/>
    <w:qFormat/>
    <w:pPr>
      <w:keepNext w:val="true"/>
      <w:keepLines/>
      <w:spacing w:before="120" w:after="240"/>
      <w:jc w:val="center"/>
    </w:pPr>
    <w:rPr/>
  </w:style>
  <w:style w:type="paragraph" w:styleId="Style26" w:customStyle="1">
    <w:name w:val="Назва документа"/>
    <w:basedOn w:val="Normal"/>
    <w:next w:val="Style18"/>
    <w:qFormat/>
    <w:pPr>
      <w:keepNext w:val="true"/>
      <w:keepLines/>
      <w:spacing w:before="240" w:after="240"/>
      <w:jc w:val="center"/>
    </w:pPr>
    <w:rPr>
      <w:b/>
    </w:rPr>
  </w:style>
  <w:style w:type="paragraph" w:styleId="NormalText" w:customStyle="1">
    <w:name w:val="Normal Text"/>
    <w:basedOn w:val="Normal"/>
    <w:qFormat/>
    <w:pPr>
      <w:ind w:firstLine="567"/>
      <w:jc w:val="both"/>
    </w:pPr>
    <w:rPr/>
  </w:style>
  <w:style w:type="paragraph" w:styleId="ShapkaDocumentu" w:customStyle="1">
    <w:name w:val="Shapka Documentu"/>
    <w:basedOn w:val="NormalText"/>
    <w:qFormat/>
    <w:pPr>
      <w:keepNext w:val="true"/>
      <w:keepLines/>
      <w:spacing w:before="0" w:after="240"/>
      <w:ind w:left="3969" w:hanging="0"/>
      <w:jc w:val="center"/>
    </w:pPr>
    <w:rPr/>
  </w:style>
  <w:style w:type="paragraph" w:styleId="Style27">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1">
    <w:name w:val="Сетка таблицы1"/>
    <w:basedOn w:val="a1"/>
    <w:uiPriority w:val="59"/>
    <w:rsid w:val="00e21708"/>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ad">
    <w:name w:val="Table Grid"/>
    <w:basedOn w:val="a1"/>
    <w:rsid w:val="00e217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utskrada.gov.ua/documents" TargetMode="External"/><Relationship Id="rId3" Type="http://schemas.openxmlformats.org/officeDocument/2006/relationships/hyperlink" Target="https://www.lutskrada.gov.ua/"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BC3D-052F-4C5C-BF84-3207E92C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Application>LibreOffice/7.3.4.2$Windows_X86_64 LibreOffice_project/728fec16bd5f605073805c3c9e7c4212a0120dc5</Application>
  <AppVersion>15.0000</AppVersion>
  <Pages>7</Pages>
  <Words>2880</Words>
  <Characters>19641</Characters>
  <CharactersWithSpaces>22376</CharactersWithSpaces>
  <Paragraphs>152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2021-12-08T15:30:00Z</dcterms:created>
  <dc:creator>Веретюк Ольга Іванівна</dc:creator>
  <dc:description/>
  <dc:language>uk-UA</dc:language>
  <cp:lastModifiedBy/>
  <cp:lastPrinted>2002-04-19T12:13:00Z</cp:lastPrinted>
  <dcterms:modified xsi:type="dcterms:W3CDTF">2022-08-15T11:57:12Z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