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" ShapeID="ole_rId2" DrawAspect="Content" ObjectID="_172462057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ind w:lef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ind w:lef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>
          <w:lang w:val="uk-UA"/>
        </w:rPr>
        <w:t>07.05</w:t>
      </w:r>
      <w:r>
        <w:rPr/>
        <w:t xml:space="preserve">.2025                                                       Луцьк                                                           № </w:t>
      </w:r>
      <w:r>
        <w:rPr>
          <w:lang w:val="uk-UA"/>
        </w:rPr>
        <w:t>5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 – голова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val="uk-UA" w:eastAsia="zh-CN"/>
        </w:rPr>
        <w:t>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  <w:r>
        <w:rPr>
          <w:b w:val="false"/>
          <w:bCs w:val="false"/>
          <w:sz w:val="28"/>
          <w:szCs w:val="28"/>
          <w:lang w:val="en-US" w:eastAsia="zh-CN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val="en-US" w:eastAsia="zh-CN"/>
        </w:rPr>
        <w:tab/>
      </w:r>
      <w:r>
        <w:rPr>
          <w:b w:val="false"/>
          <w:bCs w:val="false"/>
          <w:sz w:val="28"/>
          <w:szCs w:val="28"/>
          <w:lang w:val="en-US" w:eastAsia="zh-CN"/>
        </w:rPr>
        <w:t>3</w:t>
      </w:r>
      <w:r>
        <w:rPr>
          <w:b w:val="false"/>
          <w:bCs w:val="false"/>
          <w:sz w:val="28"/>
          <w:szCs w:val="28"/>
          <w:lang w:val="uk-UA"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склад громадської комісії з житлових питань при виконавчому комітеті Луцької міської ради</w:t>
      </w:r>
      <w:r>
        <w:rPr>
          <w:b w:val="false"/>
          <w:bCs w:val="false"/>
          <w:sz w:val="28"/>
          <w:szCs w:val="28"/>
          <w:lang w:val="uk-UA"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4</w:t>
      </w:r>
      <w:r>
        <w:rPr>
          <w:b w:val="false"/>
          <w:bCs w:val="false"/>
          <w:sz w:val="28"/>
          <w:szCs w:val="28"/>
          <w:lang w:val="uk-UA" w:eastAsia="zh-CN"/>
        </w:rPr>
        <w:t>. 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 w:val="false"/>
          <w:b w:val="false"/>
          <w:bCs w:val="false"/>
          <w:sz w:val="28"/>
          <w:szCs w:val="28"/>
          <w:lang w:val="uk-UA"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Чебелюк І.І.</w:t>
      </w:r>
      <w:r>
        <w:rPr>
          <w:sz w:val="28"/>
          <w:szCs w:val="28"/>
        </w:rPr>
        <w:t xml:space="preserve"> – запропонувала розглянути</w:t>
      </w:r>
      <w:r>
        <w:rPr>
          <w:sz w:val="28"/>
          <w:szCs w:val="28"/>
          <w:lang w:eastAsia="uk-UA"/>
        </w:rPr>
        <w:t xml:space="preserve">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 </w:t>
      </w:r>
      <w:r>
        <w:rPr>
          <w:b w:val="false"/>
          <w:bCs w:val="false"/>
          <w:sz w:val="28"/>
          <w:szCs w:val="28"/>
          <w:lang w:val="uk-UA" w:eastAsia="zh-CN"/>
        </w:rPr>
        <w:t>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 </w:t>
      </w:r>
      <w:r>
        <w:rPr>
          <w:b w:val="false"/>
          <w:bCs w:val="false"/>
          <w:sz w:val="28"/>
          <w:szCs w:val="28"/>
          <w:lang w:val="uk-UA" w:eastAsia="zh-CN"/>
        </w:rPr>
        <w:t>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b w:val="false"/>
          <w:bCs w:val="false"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b w:val="false"/>
          <w:bCs w:val="false"/>
          <w:sz w:val="28"/>
          <w:szCs w:val="28"/>
          <w:lang w:eastAsia="uk-UA"/>
        </w:rPr>
        <w:t xml:space="preserve"> – ознайомила присутніх з порядком денним засідання та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склад громадської комісії з житлових питань при виконавчому комітеті Луцької міської ради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склад громадської комісії з житлових питань при виконавчому комітеті Луцької міської ради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11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>2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 </w:t>
      </w:r>
      <w:r>
        <w:rPr>
          <w:b w:val="false"/>
          <w:bCs w:val="false"/>
          <w:sz w:val="28"/>
          <w:szCs w:val="28"/>
          <w:lang w:val="uk-UA" w:eastAsia="zh-CN"/>
        </w:rPr>
        <w:t>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val="en-US" w:eastAsia="uk-UA"/>
        </w:rPr>
        <w:t>11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склад громадської комісії з житлових питань при виконавчому комітеті Луцької міської ради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11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11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Головуюча</w:t>
      </w:r>
      <w:r>
        <w:rPr>
          <w:sz w:val="28"/>
          <w:szCs w:val="28"/>
          <w:lang w:val="en-US"/>
        </w:rPr>
        <w:tab/>
        <w:tab/>
        <w:tab/>
      </w:r>
      <w:r>
        <w:rPr>
          <w:sz w:val="28"/>
          <w:szCs w:val="28"/>
        </w:rPr>
        <w:tab/>
        <w:tab/>
        <w:tab/>
        <w:t xml:space="preserve">    </w:t>
        <w:tab/>
        <w:tab/>
        <w:tab/>
        <w:t xml:space="preserve">   Ірина ЧЕБЕЛЮК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 w:eastAsia="zh-CN"/>
        </w:rPr>
        <w:t>С</w:t>
      </w:r>
      <w:r>
        <w:rPr>
          <w:sz w:val="28"/>
          <w:szCs w:val="28"/>
          <w:lang w:eastAsia="zh-CN"/>
        </w:rPr>
        <w:t xml:space="preserve">екретар комісії      </w:t>
        <w:tab/>
        <w:tab/>
        <w:tab/>
        <w:tab/>
        <w:t xml:space="preserve">       </w:t>
        <w:tab/>
        <w:tab/>
        <w:tab/>
        <w:t>Тетяна ДОРОЩУК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qFormat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>
    <w:name w:val="Heading 6 Char"/>
    <w:basedOn w:val="DefaultParagraphFont"/>
    <w:qFormat/>
    <w:rPr>
      <w:rFonts w:ascii="Calibri" w:hAnsi="Calibri" w:cs="Times New Roman"/>
      <w:b/>
      <w:bCs/>
      <w:lang w:val="uk-UA" w:eastAsia="ru-RU"/>
    </w:rPr>
  </w:style>
  <w:style w:type="character" w:styleId="61">
    <w:name w:val="Заголовок 6 Знак"/>
    <w:basedOn w:val="DefaultParagraphFont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>
    <w:name w:val="Ниж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3">
    <w:name w:val="Верх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Tj">
    <w:name w:val="tj"/>
    <w:basedOn w:val="Normal"/>
    <w:qFormat/>
    <w:pPr>
      <w:spacing w:before="280" w:after="280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LibreOffice/7.4.3.2$Windows_X86_64 LibreOffice_project/1048a8393ae2eeec98dff31b5c133c5f1d08b890</Application>
  <AppVersion>15.0000</AppVersion>
  <Pages>3</Pages>
  <Words>658</Words>
  <Characters>4574</Characters>
  <CharactersWithSpaces>5395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2025-04-15T11:46:00Z</cp:lastPrinted>
  <dcterms:modified xsi:type="dcterms:W3CDTF">2025-05-13T11:23:07Z</dcterms:modified>
  <cp:revision>204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