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1037" w:dyaOrig="1397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79919579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16</w:t>
      </w:r>
      <w:r>
        <w:rPr/>
        <w:t>.11.2022                                                   Луцьк                                                           № 1</w:t>
      </w:r>
      <w:r>
        <w:rPr/>
        <w:t>2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  <w:r>
        <w:rPr>
          <w:sz w:val="28"/>
          <w:szCs w:val="28"/>
          <w:lang w:val="en-US"/>
        </w:rPr>
        <w:t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</w:rPr>
        <w:t>2. 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</w:t>
      </w:r>
      <w:r>
        <w:rPr>
          <w:sz w:val="28"/>
          <w:szCs w:val="28"/>
          <w:lang w:eastAsia="zh-CN"/>
        </w:rPr>
        <w:t xml:space="preserve">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  <w:lang w:eastAsia="zh-CN"/>
        </w:rPr>
        <w:tab/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виключення квартири з числа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 xml:space="preserve">«Про </w:t>
      </w:r>
      <w:r>
        <w:rPr>
          <w:sz w:val="28"/>
          <w:szCs w:val="28"/>
          <w:lang w:eastAsia="zh-CN"/>
        </w:rPr>
        <w:t>виключення квартири з числа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виключення квартири з числа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 xml:space="preserve">  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2" w:customStyle="1">
    <w:name w:val="Верхній і нижній колонтитули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6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LibreOffice/7.3.3.2$Windows_X86_64 LibreOffice_project/d1d0ea68f081ee2800a922cac8f79445e4603348</Application>
  <AppVersion>15.0000</AppVersion>
  <Pages>3</Pages>
  <Words>364</Words>
  <Characters>2470</Characters>
  <CharactersWithSpaces>2975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/>
  <cp:lastPrinted>2022-11-18T12:13:37Z</cp:lastPrinted>
  <dcterms:modified xsi:type="dcterms:W3CDTF">2022-11-18T12:13:21Z</dcterms:modified>
  <cp:revision>30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