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3"/>
        <w:shd w:fill="FFFFFF" w:val="clear"/>
        <w:spacing w:lineRule="atLeast" w:line="450" w:before="720" w:after="240"/>
        <w:jc w:val="center"/>
        <w:rPr/>
      </w:pP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Тарифи Луцької міської територіальної громади станом на 01.</w:t>
      </w: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01</w:t>
      </w: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.202</w:t>
      </w: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2</w:t>
      </w:r>
    </w:p>
    <w:tbl>
      <w:tblPr>
        <w:tblW w:w="9923" w:type="dxa"/>
        <w:jc w:val="center"/>
        <w:tblInd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84"/>
        <w:gridCol w:w="1033"/>
        <w:gridCol w:w="998"/>
        <w:gridCol w:w="3844"/>
        <w:gridCol w:w="2064"/>
      </w:tblGrid>
      <w:tr>
        <w:trPr>
          <w:trHeight w:val="36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Назва послуги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Одиниця виміру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Діючий тариф, грн (з ПДВ) </w:t>
            </w:r>
          </w:p>
        </w:tc>
        <w:tc>
          <w:tcPr>
            <w:tcW w:w="206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Примітка</w:t>
            </w:r>
          </w:p>
        </w:tc>
      </w:tr>
      <w:tr>
        <w:trPr>
          <w:trHeight w:val="360" w:hRule="atLeast"/>
        </w:trPr>
        <w:tc>
          <w:tcPr>
            <w:tcW w:w="9923" w:type="dxa"/>
            <w:gridSpan w:val="5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Населення</w:t>
            </w:r>
          </w:p>
        </w:tc>
      </w:tr>
      <w:tr>
        <w:trPr>
          <w:trHeight w:val="435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послугу з постачання теплової енергії  (ДКП «Луцьктепло»)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1.1. Без урахування витрат на оснащення будівлі ВКО:</w:t>
              <w:br/>
              <w:t>- умовно-змінна частина –  1314,86 (з ПДВ)</w:t>
              <w:br/>
              <w:t>- умовно-постійна частина  – 105090,29 (з ПДВ)</w:t>
              <w:br/>
              <w:t>1.2. З урахуванням витрат на оснащення будівлі ВКО:</w:t>
              <w:br/>
              <w:t>- умовно-змінна частина –  1314,86 (з ПДВ)</w:t>
              <w:br/>
              <w:t>- умовно-постійна частина  – 136122,72 (з ПДВ)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2.1. Без урахування витрат на оснащення будівлі ВКО:</w:t>
              <w:br/>
              <w:t>- умовно-змінна частина – 1404,12 (з ПДВ)</w:t>
              <w:br/>
              <w:t>- умовно-постійна частина  – 118677,41 (з ПДВ)</w:t>
              <w:br/>
              <w:t>2.2. З урахуванням витрат на оснащення будівлі ВКО:</w:t>
              <w:br/>
              <w:t>- умовно-змінна частина – 1404,12 (з ПДВ)</w:t>
              <w:br/>
              <w:t>- умовно-постійна частина  – 150590,29 (з ПДВ)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3) 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індивідуальних теплових пунктів:</w:t>
            </w:r>
            <w:r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8"/>
                <w:szCs w:val="18"/>
              </w:rPr>
              <w:br/>
              <w:t>- умовно-змінна частина –  1302,68 (з ПДВ)</w:t>
              <w:br/>
              <w:t>- умовно-постійна частина  – 107657,89 (з ПДВ)</w:t>
            </w:r>
          </w:p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 для багатоквартирних будинків, обладнаних системою автономного опалення:</w:t>
              <w:br/>
              <w:t>4.1. вул. Гордіюк, 20а:1181,78 (з ПДВ);</w:t>
              <w:br/>
              <w:t>- умовно-постійна частина –  145469,62 (з ПДВ);</w:t>
              <w:br/>
              <w:t>4.2. вул. Дубнівська, 15:</w:t>
              <w:br/>
              <w:t>- умовно-змінна частина –  1085,84 (з ПДВ);</w:t>
              <w:br/>
              <w:t>- умовно-постійна частина –  103041,00 (з ПДВ);</w:t>
              <w:br/>
              <w:t>4.3. вул. Ковельська, 47а:</w:t>
              <w:br/>
              <w:t>- умовно-змінна частина –  1098,61 (з ПДВ);</w:t>
              <w:br/>
              <w:t>- умовно-постійна частина –  120351,47 (з ПДВ);</w:t>
              <w:br/>
              <w:t>4.4. вул. Ковельська, 150:</w:t>
              <w:br/>
              <w:t>- умовно-змінна частина –  1174,92 (з ПДВ);</w:t>
              <w:br/>
              <w:t>- умовно-постійна частина  –  83654,27 (з ПДВ);</w:t>
              <w:br/>
              <w:t>4.5. вул. Кравчука, 11б:</w:t>
              <w:br/>
              <w:t>- умовно-змінна частина –  1096,19 (з ПДВ);</w:t>
              <w:br/>
              <w:t>- умовно-постійна частина –   126663,37 (з ПДВ);</w:t>
              <w:br/>
              <w:t>4.6. вул. Кравчука, 11в:</w:t>
              <w:br/>
              <w:t>- умовно-змінна частина –  1179,47 (з ПДВ);</w:t>
              <w:br/>
              <w:t>- умовно-постійна частина –   123507,34 (з ПДВ);</w:t>
              <w:br/>
              <w:t>4.7. вул. Федорова, 4в:</w:t>
              <w:br/>
              <w:t>- умовно-змінна частина –  1221,83 (з ПДВ);</w:t>
              <w:br/>
              <w:t>- умовно-постійна частина –   130514,14 (з ПДВ);</w:t>
              <w:br/>
              <w:t>4.9. вул. Федорова, 4в:</w:t>
              <w:br/>
              <w:t>- умовно-змінна частина –  1120,87 (з ПДВ);</w:t>
              <w:br/>
              <w:t>- умовно-постійна частина – 125662,26 (з ПДВ).</w:t>
            </w:r>
          </w:p>
        </w:tc>
        <w:tc>
          <w:tcPr>
            <w:tcW w:w="206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01.02.2021. Рішення виконавчого комітету Луцької міської ради від 01.02.21 № 52-1</w:t>
            </w:r>
          </w:p>
        </w:tc>
      </w:tr>
      <w:tr>
        <w:trPr>
          <w:trHeight w:val="72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постачання гарячої води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127,64(з ПДВ)</w:t>
              <w:br/>
              <w:t>1.2 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з врахуванням встановлення КЗО – 138,96 (з ПДВ)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136,37 (з ПДВ)</w:t>
              <w:br/>
              <w:t>2.1  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147,71 (з ПДВ)</w:t>
            </w:r>
          </w:p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Постачання з ІТП - 125,95 </w:t>
            </w:r>
          </w:p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тарифи на послуги з постачання гарячої води, що виробляється та постачається за допомогою систем автономного опалення для багатоквартирних будинків, за наступними адресами:</w:t>
              <w:br/>
              <w:t>3.1. вул. Гордіюк, 20а -  133,24 (з ПДВ);</w:t>
              <w:br/>
              <w:t>3.2. вул. Дубнівська, 15  - 114,49 (з ПДВ);</w:t>
              <w:br/>
              <w:t>3.3. вул. Ковельська, 47а  -  121,40 (з ПДВ);</w:t>
              <w:br/>
              <w:t>3.4. вул. Кравчука, 11б -  122,80 (з ПДВ);</w:t>
              <w:br/>
              <w:t>3.5. вул. Кравчука, 11в  -  126,00 (з ПДВ);</w:t>
              <w:br/>
              <w:t>3.6. вул. Федорова, 4в -  130,38 (з ПДВ);</w:t>
              <w:br/>
              <w:t>3.7. вул. Федорова, 4д -  123,58 (з ПДВ);</w:t>
            </w:r>
          </w:p>
        </w:tc>
        <w:tc>
          <w:tcPr>
            <w:tcW w:w="206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01.10.2021. Рішення виконавчого комітету Луцької міської ради від 30.09.21 № 775-1</w:t>
            </w:r>
          </w:p>
        </w:tc>
      </w:tr>
      <w:tr>
        <w:trPr/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 не є суб'єктами у сфері централізованого водопостачання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10,716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01.01.2021.  Постанова Національної комісії, що здійснює державне регулювання у сфері комунальних послуг від 16.12.2020 №2499</w:t>
            </w:r>
          </w:p>
        </w:tc>
      </w:tr>
      <w:tr>
        <w:trPr>
          <w:trHeight w:val="24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 є суб'єктами у сфері централізованого водопостачання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7,032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 не є суб'єктами у сфері централізованого водовідведення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13,776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 є суб'єктами у сфері централізованого водовідведення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6,528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923" w:type="dxa"/>
            <w:gridSpan w:val="5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Бюджетні установи та інші споживачі</w:t>
            </w:r>
          </w:p>
        </w:tc>
      </w:tr>
      <w:tr>
        <w:trPr/>
        <w:tc>
          <w:tcPr>
            <w:tcW w:w="198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послугу з постачання теплової енергії (ДКП «Луцьктепло»)</w:t>
            </w:r>
          </w:p>
        </w:tc>
        <w:tc>
          <w:tcPr>
            <w:tcW w:w="1033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Бюджетні установи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  Гкал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  Гкал/год</w:t>
            </w:r>
          </w:p>
        </w:tc>
        <w:tc>
          <w:tcPr>
            <w:tcW w:w="3844" w:type="dxa"/>
            <w:tcBorders>
              <w:top w:val="single" w:sz="6" w:space="0" w:color="DDDDDD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 без урахування витрат на утримання індивідуальних теплових пунктів:</w:t>
              <w:br/>
              <w:t>1.1. Без урахування витрат на оснащення будівлі ВКО:</w:t>
              <w:br/>
              <w:t>- умовно-змінна частина –  2698,28</w:t>
              <w:br/>
              <w:t>- умовно-постійна частина  – 117056,56</w:t>
              <w:br/>
              <w:t>1.2. З урахуванням витрат на оснащення будівлі ВКО:</w:t>
              <w:br/>
              <w:t>- умовно-змінна частина –  2698,28</w:t>
              <w:br/>
              <w:t>- умовно-постійна частина  – 141546,65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2.1. Без урахування витрат на оснащення будівлі ВКО:</w:t>
              <w:br/>
              <w:t>- умовно-змінна частина –  2771,16</w:t>
              <w:br/>
              <w:t>- умовно-постійна частина  – 127748,09 </w:t>
              <w:br/>
              <w:t>2.2. З урахуванням витрат на оснащення будівлі ВКО:</w:t>
              <w:br/>
              <w:t>- умовно-змінна частина –  2771,16</w:t>
              <w:br/>
              <w:t>- умовно-постійна частина  – 158660,47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3) </w:t>
            </w:r>
            <w:r>
              <w:rPr>
                <w:rStyle w:val="Style16"/>
                <w:sz w:val="18"/>
                <w:szCs w:val="18"/>
              </w:rPr>
              <w:t> 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пунктів:</w:t>
              <w:br/>
              <w:t>- умовно-змінна частина –  2690,51</w:t>
              <w:br/>
              <w:t>- умовно-постійна частина  – 123483,82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01.11.2021. Рішення виконавчого комітету Луцької міської ради від 29.10.2021 </w:t>
              <w:br/>
              <w:t>№ 879-1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споживачі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4" w:type="dxa"/>
            <w:tcBorders>
              <w:top w:val="single" w:sz="6" w:space="0" w:color="DDDDDD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 </w:t>
            </w:r>
            <w:r>
              <w:rPr>
                <w:sz w:val="18"/>
                <w:szCs w:val="18"/>
              </w:rPr>
              <w:t>урахування</w:t>
              <w:br/>
              <w:t>витрат на утримання центральних теплових пунктів, постачання теплової енергії без урахування витрат на утримання індивідуальних теплових пунктів:</w:t>
              <w:br/>
              <w:t>1.1. Без урахування витрат на оснащення будівлі ВКО:</w:t>
              <w:br/>
              <w:t>- умовно-змінна частина –  3989,11</w:t>
              <w:br/>
              <w:t>- умовно-постійна частина – 113359,75</w:t>
              <w:br/>
              <w:t>1.2. З урахуванням витрат на оснащення будівлі ВКО:</w:t>
              <w:br/>
              <w:t>- умовно-змінна частина –  3989,11</w:t>
              <w:br/>
              <w:t>- умовно-постійна частина – 139886,94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 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 </w:t>
            </w:r>
            <w:r>
              <w:rPr>
                <w:sz w:val="18"/>
                <w:szCs w:val="18"/>
              </w:rPr>
              <w:t>урахування витрат на утримання індивідуальних теплових пунктів:</w:t>
              <w:br/>
              <w:t>2.1. Без урахування витрат на оснащення будівлі ВКО:</w:t>
              <w:br/>
              <w:t>- умовно-змінна частина –  4072,74</w:t>
              <w:br/>
              <w:t>- умовно-постійна частина - 118740,38</w:t>
              <w:br/>
              <w:t> 2.2.  З урахуванням витрат на оснащення будівлі ВКО:</w:t>
              <w:br/>
              <w:t>- умовно-змінна частина –  4072,74</w:t>
              <w:br/>
              <w:t>- умовно-постійна частина - 144302,54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3) 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пунктів:</w:t>
              <w:br/>
              <w:t>- умовно-змінна частина –  3982,31</w:t>
              <w:br/>
              <w:t>- умовно-постійна частина  – 112974,56 </w:t>
              <w:br/>
              <w:br/>
              <w:t>4) Виробництво САО:</w:t>
              <w:br/>
              <w:t>4.1 Дубнівська, 15</w:t>
              <w:br/>
              <w:t>- умовно-змінна частина –  3447,94</w:t>
              <w:br/>
              <w:t>- умовно-постійна частина  – 110496,54</w:t>
              <w:br/>
              <w:t>4.2. Ковельська, 47а</w:t>
              <w:br/>
              <w:t> - умовно-змінна частина –  3475,36</w:t>
              <w:br/>
              <w:t>- умовно-постійна частина  – 124606,57</w:t>
              <w:br/>
              <w:t>4.3. Кравчука, 11 б</w:t>
              <w:br/>
              <w:t> - умовно-змінна частина –  3493,43</w:t>
              <w:br/>
              <w:t>- умовно-постійна частина  – 136615,31</w:t>
              <w:br/>
              <w:t>4.3. Кравчука, 11 в</w:t>
              <w:br/>
              <w:t> - умовно-змінна частина –  3735,34</w:t>
              <w:br/>
              <w:t>- умовно-постійна частина  – 11602,51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198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постачання гарячої води</w:t>
            </w:r>
          </w:p>
        </w:tc>
        <w:tc>
          <w:tcPr>
            <w:tcW w:w="1033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Бюджетні установи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205,64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212,36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01.11.2021. Рішення виконавчого комітету Луцької міської ради від 29.10.2021 </w:t>
              <w:br/>
              <w:t>№ 879-1</w:t>
            </w:r>
          </w:p>
        </w:tc>
      </w:tr>
      <w:tr>
        <w:trPr>
          <w:trHeight w:val="75" w:hRule="atLeast"/>
        </w:trPr>
        <w:tc>
          <w:tcPr>
            <w:tcW w:w="198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споживачі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274,32 </w:t>
              <w:br/>
              <w:t>- з КЗО - 285,64</w:t>
            </w:r>
          </w:p>
          <w:p>
            <w:pPr>
              <w:pStyle w:val="Style30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281,96</w:t>
              <w:br/>
              <w:t>- з КЗО - 293,30</w:t>
            </w:r>
          </w:p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Постачання з ІТП</w:t>
              <w:br/>
              <w:t>- 273,43</w:t>
            </w:r>
          </w:p>
          <w:p>
            <w:pPr>
              <w:pStyle w:val="Style30"/>
              <w:spacing w:lineRule="atLeast" w:line="75"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САО</w:t>
              <w:br/>
              <w:t>Кравчука, 11 б - 253,31</w:t>
              <w:br/>
              <w:t>Кравчука, 11 в - 265,15</w:t>
              <w:br/>
              <w:t>Ковельська, 47 а - 250,80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 не є суб'єктами у сфері централізованого водопостачання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10,716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01.01.2021.  Постанова Національної комісії, що здійснює державне регулювання у сфері комунальних послуг від 16.12.2020 №2499</w:t>
            </w:r>
          </w:p>
        </w:tc>
      </w:tr>
      <w:tr>
        <w:trPr>
          <w:trHeight w:val="75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 є суб'єктами у сфері централізованого водопостачання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7,032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 не є суб'єктами у сфері централізованого водовідведення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13,776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 є суб'єктами у сфері централізованого водовідведення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6,528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9923" w:type="dxa"/>
            <w:gridSpan w:val="5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Релігійні організації</w:t>
            </w:r>
          </w:p>
        </w:tc>
      </w:tr>
      <w:tr>
        <w:trPr>
          <w:trHeight w:val="36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теплову енергію</w:t>
              <w:br/>
              <w:t>(ДКП «Луцьктепло»)</w:t>
            </w:r>
          </w:p>
        </w:tc>
        <w:tc>
          <w:tcPr>
            <w:tcW w:w="998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</w:t>
            </w:r>
            <w:r>
              <w:rPr>
                <w:rStyle w:val="Style16"/>
                <w:sz w:val="18"/>
                <w:szCs w:val="18"/>
              </w:rPr>
              <w:t> без </w:t>
            </w:r>
            <w:r>
              <w:rPr>
                <w:sz w:val="18"/>
                <w:szCs w:val="18"/>
              </w:rPr>
              <w:t>урахування витрат на утримання індивідуальних теплових пунктів: </w:t>
              <w:br/>
              <w:t>- умовно-змінна частина - 2716,31  </w:t>
              <w:br/>
              <w:t>-умовно-постійна частина - 117563,03 </w:t>
            </w:r>
            <w:r>
              <w:rPr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206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01.11.2021. Рішення виконавчого комітету Луцької міської ради від 29.10.2021 </w:t>
              <w:br/>
              <w:t>№ 879-1</w:t>
            </w:r>
          </w:p>
        </w:tc>
      </w:tr>
      <w:tr>
        <w:trPr>
          <w:trHeight w:val="36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 не є суб'єктами у сфері централізованого водопостачання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10,716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01.01.2021.  Постанова Національної комісії, що здійснює державне регулювання у сфері комунальних послуг від 16.12.2020 № 2499</w:t>
            </w:r>
          </w:p>
        </w:tc>
      </w:tr>
      <w:tr>
        <w:trPr>
          <w:trHeight w:val="33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 водопостачання для споживачів, які є суб'єктами у сфері централізованого водопостачання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7,032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 не є суб'єктами у сфері централізованого водовідведення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13,776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301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для споживачів, які є суб'єктами у сфері централізованого водовідведення</w:t>
            </w:r>
          </w:p>
        </w:tc>
        <w:tc>
          <w:tcPr>
            <w:tcW w:w="998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4" w:type="dxa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Style30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6,528</w:t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30"/>
        <w:shd w:fill="FFFFFF" w:val="clear"/>
        <w:spacing w:before="0" w:after="240"/>
        <w:rPr>
          <w:rFonts w:ascii="Arial" w:hAnsi="Arial" w:cs="Arial"/>
          <w:sz w:val="21"/>
          <w:szCs w:val="21"/>
        </w:rPr>
      </w:pPr>
      <w:r>
        <w:rPr>
          <w:rStyle w:val="Style16"/>
          <w:rFonts w:cs="Arial" w:ascii="Arial" w:hAnsi="Arial"/>
          <w:sz w:val="21"/>
          <w:szCs w:val="21"/>
        </w:rPr>
        <w:t>Примітки:</w:t>
      </w:r>
    </w:p>
    <w:p>
      <w:pPr>
        <w:pStyle w:val="Style30"/>
        <w:shd w:fill="FFFFFF" w:val="clear"/>
        <w:spacing w:before="0" w:after="240"/>
        <w:rPr/>
      </w:pPr>
      <w:r>
        <w:rPr>
          <w:rFonts w:cs="Arial" w:ascii="Arial" w:hAnsi="Arial"/>
          <w:sz w:val="21"/>
          <w:szCs w:val="21"/>
        </w:rPr>
        <w:t>1. Нарахування плати за кожен місяць здійснюється відповідно до середньодобової температури поточного місяця згідно правил надання послуг з централізованого опалення, затверджених постановою КМУ від </w:t>
      </w:r>
      <w:r>
        <w:fldChar w:fldCharType="begin"/>
      </w:r>
      <w:r>
        <w:rPr>
          <w:sz w:val="21"/>
          <w:szCs w:val="21"/>
          <w:rFonts w:cs="Arial" w:ascii="Arial" w:hAnsi="Arial"/>
          <w:color w:val="EB0E0E"/>
        </w:rPr>
        <w:instrText> HYPERLINK "https://zakon.rada.gov.ua/laws/show/630-2005-п" \l "Text"</w:instrText>
      </w:r>
      <w:r>
        <w:rPr>
          <w:sz w:val="21"/>
          <w:szCs w:val="21"/>
          <w:rFonts w:cs="Arial" w:ascii="Arial" w:hAnsi="Arial"/>
          <w:color w:val="EB0E0E"/>
        </w:rPr>
        <w:fldChar w:fldCharType="separate"/>
      </w:r>
      <w:r>
        <w:rPr>
          <w:rFonts w:cs="Arial" w:ascii="Arial" w:hAnsi="Arial"/>
          <w:color w:val="EB0E0E"/>
          <w:sz w:val="21"/>
          <w:szCs w:val="21"/>
        </w:rPr>
        <w:t>21.07.2005 № 630</w:t>
      </w:r>
      <w:r>
        <w:rPr>
          <w:sz w:val="21"/>
          <w:szCs w:val="21"/>
          <w:rFonts w:cs="Arial" w:ascii="Arial" w:hAnsi="Arial"/>
          <w:color w:val="EB0E0E"/>
        </w:rPr>
        <w:fldChar w:fldCharType="end"/>
      </w:r>
      <w:r>
        <w:rPr>
          <w:rFonts w:cs="Arial" w:ascii="Arial" w:hAnsi="Arial"/>
          <w:sz w:val="21"/>
          <w:szCs w:val="21"/>
        </w:rPr>
        <w:t>. Детальні роз'яснення - </w:t>
      </w:r>
      <w:hyperlink r:id="rId2">
        <w:r>
          <w:rPr>
            <w:rFonts w:cs="Arial" w:ascii="Arial" w:hAnsi="Arial"/>
            <w:color w:val="EB0E0E"/>
            <w:sz w:val="21"/>
            <w:szCs w:val="21"/>
          </w:rPr>
          <w:t>на сайті ДКП "Луцьктепло"</w:t>
        </w:r>
      </w:hyperlink>
      <w:r>
        <w:rPr>
          <w:rFonts w:cs="Arial" w:ascii="Arial" w:hAnsi="Arial"/>
          <w:sz w:val="21"/>
          <w:szCs w:val="21"/>
        </w:rPr>
        <w:t>. 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bCs/>
      <w:color w:val="auto"/>
      <w:sz w:val="28"/>
      <w:szCs w:val="24"/>
      <w:lang w:val="uk-UA" w:eastAsia="zh-CN" w:bidi="ar-SA"/>
    </w:rPr>
  </w:style>
  <w:style w:type="paragraph" w:styleId="3">
    <w:name w:val="Heading 3"/>
    <w:basedOn w:val="Normal"/>
    <w:next w:val="Style18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b/>
      <w:sz w:val="27"/>
      <w:szCs w:val="27"/>
    </w:rPr>
  </w:style>
  <w:style w:type="character" w:styleId="Style13">
    <w:name w:val="Основной шрифт абзаца"/>
    <w:qFormat/>
    <w:rPr/>
  </w:style>
  <w:style w:type="character" w:styleId="4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4">
    <w:name w:val="Гіперпосилання"/>
    <w:rPr>
      <w:color w:val="0000FF"/>
      <w:u w:val="single"/>
    </w:rPr>
  </w:style>
  <w:style w:type="character" w:styleId="Style15">
    <w:name w:val=" Знак Знак"/>
    <w:qFormat/>
    <w:rPr>
      <w:bCs/>
      <w:sz w:val="28"/>
      <w:szCs w:val="24"/>
      <w:lang w:val="uk-UA"/>
    </w:rPr>
  </w:style>
  <w:style w:type="character" w:styleId="32">
    <w:name w:val="Заголовок 3 Знак"/>
    <w:qFormat/>
    <w:rPr>
      <w:b/>
      <w:bCs/>
      <w:sz w:val="27"/>
      <w:szCs w:val="27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Body Text Indent"/>
    <w:basedOn w:val="Normal"/>
    <w:pPr>
      <w:spacing w:before="0" w:after="120"/>
      <w:ind w:left="283" w:right="0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 Знак Знак Знак"/>
    <w:basedOn w:val="Normal"/>
    <w:qFormat/>
    <w:pPr>
      <w:suppressAutoHyphens w:val="false"/>
    </w:pPr>
    <w:rPr>
      <w:rFonts w:ascii="Verdana" w:hAnsi="Verdana" w:cs="Verdana"/>
      <w:bCs w:val="false"/>
      <w:sz w:val="20"/>
      <w:szCs w:val="20"/>
      <w:lang w:val="en-US"/>
    </w:rPr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Обычный (веб)"/>
    <w:basedOn w:val="Normal"/>
    <w:qFormat/>
    <w:pPr>
      <w:suppressAutoHyphens w:val="false"/>
      <w:spacing w:before="280" w:after="280"/>
    </w:pPr>
    <w:rPr>
      <w:bCs w:val="false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eplo-dkp.lutsk.ua/ua/porivnyannya_narahuvan_abo_chomu_v_grudni_bilsh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LibreOffice/7.2.4.1$Windows_X86_64 LibreOffice_project/27d75539669ac387bb498e35313b970b7fe9c4f9</Application>
  <AppVersion>15.0000</AppVersion>
  <Pages>6</Pages>
  <Words>1351</Words>
  <Characters>8833</Characters>
  <CharactersWithSpaces>10244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2021-10-08T08:44:00Z</dcterms:created>
  <dc:creator>Polishcuk</dc:creator>
  <dc:description/>
  <cp:keywords> </cp:keywords>
  <dc:language>uk-UA</dc:language>
  <cp:lastModifiedBy/>
  <cp:lastPrinted>2018-04-03T11:52:00Z</cp:lastPrinted>
  <dcterms:modified xsi:type="dcterms:W3CDTF">2022-01-12T10:51:04Z</dcterms:modified>
  <cp:revision>8</cp:revision>
  <dc:subject/>
  <dc:title> </dc:title>
</cp:coreProperties>
</file>