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color w:val="C9211E"/>
          <w:sz w:val="28"/>
          <w:szCs w:val="28"/>
        </w:rPr>
      </w:pPr>
      <w:r>
        <w:rPr>
          <w:b/>
          <w:color w:val="000000"/>
          <w:sz w:val="28"/>
          <w:szCs w:val="28"/>
        </w:rPr>
        <w:t>Аналіз регуляторного впливу</w:t>
      </w:r>
    </w:p>
    <w:p>
      <w:pPr>
        <w:pStyle w:val="Normal"/>
        <w:jc w:val="center"/>
        <w:rPr>
          <w:b/>
          <w:b/>
          <w:color w:val="000000"/>
        </w:rPr>
      </w:pPr>
      <w:r>
        <w:rPr>
          <w:b/>
          <w:color w:val="000000"/>
        </w:rPr>
      </w:r>
    </w:p>
    <w:p>
      <w:pPr>
        <w:pStyle w:val="Normal"/>
        <w:ind w:firstLine="709"/>
        <w:jc w:val="both"/>
        <w:rPr>
          <w:color w:val="C9211E"/>
          <w:sz w:val="28"/>
          <w:szCs w:val="28"/>
        </w:rPr>
      </w:pPr>
      <w:r>
        <w:rPr>
          <w:color w:val="000000"/>
          <w:sz w:val="28"/>
          <w:szCs w:val="28"/>
        </w:rPr>
        <w:t>(відповідно до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зі змінами).</w:t>
      </w:r>
    </w:p>
    <w:p>
      <w:pPr>
        <w:pStyle w:val="Normal"/>
        <w:ind w:firstLine="709"/>
        <w:jc w:val="both"/>
        <w:rPr/>
      </w:pPr>
      <w:r>
        <w:rPr>
          <w:b/>
          <w:color w:val="000000"/>
          <w:sz w:val="28"/>
          <w:szCs w:val="28"/>
        </w:rPr>
        <w:t>Назва регуляторного акта</w:t>
      </w:r>
      <w:r>
        <w:rPr>
          <w:color w:val="000000"/>
          <w:sz w:val="28"/>
          <w:szCs w:val="28"/>
        </w:rPr>
        <w:t xml:space="preserve"> – проєкт рішення виконавчого комітету Луцької міської ради «</w:t>
      </w:r>
      <w:r>
        <w:rPr>
          <w:rFonts w:cs="Times New Roman CYR" w:ascii="Times New Roman CYR" w:hAnsi="Times New Roman CYR"/>
          <w:color w:val="000000"/>
          <w:sz w:val="28"/>
          <w:szCs w:val="28"/>
        </w:rPr>
        <w:t xml:space="preserve">Про </w:t>
      </w:r>
      <w:r>
        <w:rPr>
          <w:rFonts w:cs="Times New Roman CYR"/>
          <w:color w:val="000000"/>
          <w:sz w:val="28"/>
          <w:szCs w:val="28"/>
          <w:lang w:bidi="hi-IN"/>
        </w:rPr>
        <w:t xml:space="preserve">затвердження показників для </w:t>
      </w:r>
      <w:r>
        <w:rPr>
          <w:rFonts w:cs="Times New Roman CYR"/>
          <w:color w:val="000000"/>
          <w:sz w:val="28"/>
          <w:lang w:bidi="hi-IN"/>
        </w:rPr>
        <w:t xml:space="preserve">визначення відновної вартості зелених </w:t>
      </w:r>
      <w:r>
        <w:rPr>
          <w:rFonts w:cs="Times New Roman CYR"/>
          <w:color w:val="000000"/>
          <w:sz w:val="28"/>
          <w:szCs w:val="28"/>
          <w:lang w:bidi="hi-IN"/>
        </w:rPr>
        <w:t xml:space="preserve">насаджень </w:t>
      </w:r>
      <w:r>
        <w:rPr>
          <w:rFonts w:cs="Times New Roman CYR" w:ascii="Times New Roman CYR" w:hAnsi="Times New Roman CYR"/>
          <w:color w:val="000000"/>
          <w:sz w:val="28"/>
          <w:szCs w:val="28"/>
        </w:rPr>
        <w:t xml:space="preserve">на території </w:t>
      </w:r>
      <w:r>
        <w:rPr>
          <w:rStyle w:val="Style16"/>
          <w:rFonts w:cs="Times New Roman CYR" w:ascii="Times New Roman CYR" w:hAnsi="Times New Roman CYR"/>
          <w:b w:val="false"/>
          <w:color w:val="000000"/>
          <w:sz w:val="28"/>
          <w:szCs w:val="28"/>
        </w:rPr>
        <w:t>Луцької міської територіальної громади</w:t>
      </w:r>
      <w:r>
        <w:rPr>
          <w:color w:val="000000"/>
          <w:sz w:val="28"/>
          <w:szCs w:val="28"/>
        </w:rPr>
        <w:t>».</w:t>
      </w:r>
    </w:p>
    <w:p>
      <w:pPr>
        <w:pStyle w:val="Normal"/>
        <w:ind w:firstLine="709"/>
        <w:jc w:val="both"/>
        <w:rPr>
          <w:color w:val="C9211E"/>
        </w:rPr>
      </w:pPr>
      <w:r>
        <w:rPr>
          <w:b/>
          <w:color w:val="000000"/>
          <w:sz w:val="28"/>
          <w:szCs w:val="28"/>
        </w:rPr>
        <w:t>Регуляторний орган</w:t>
      </w:r>
      <w:r>
        <w:rPr>
          <w:color w:val="000000"/>
          <w:sz w:val="28"/>
          <w:szCs w:val="28"/>
        </w:rPr>
        <w:t xml:space="preserve"> – Луцька міська рада. </w:t>
      </w:r>
    </w:p>
    <w:p>
      <w:pPr>
        <w:pStyle w:val="Normal"/>
        <w:ind w:firstLine="709"/>
        <w:jc w:val="both"/>
        <w:rPr/>
      </w:pPr>
      <w:r>
        <w:rPr>
          <w:b/>
          <w:color w:val="000000"/>
          <w:sz w:val="28"/>
          <w:szCs w:val="28"/>
        </w:rPr>
        <w:t>Розробник документа</w:t>
      </w:r>
      <w:r>
        <w:rPr>
          <w:color w:val="000000"/>
          <w:sz w:val="28"/>
          <w:szCs w:val="28"/>
        </w:rPr>
        <w:t xml:space="preserve"> – </w:t>
      </w:r>
      <w:r>
        <w:rPr>
          <w:rStyle w:val="Style16"/>
          <w:b w:val="false"/>
          <w:color w:val="000000"/>
          <w:sz w:val="28"/>
          <w:szCs w:val="28"/>
        </w:rPr>
        <w:t xml:space="preserve">відділ екології та департамент житлово-комунального господарства Луцької міської ради </w:t>
      </w:r>
    </w:p>
    <w:p>
      <w:pPr>
        <w:pStyle w:val="Normal"/>
        <w:ind w:firstLine="708"/>
        <w:jc w:val="both"/>
        <w:rPr>
          <w:b/>
          <w:b/>
          <w:color w:val="C9211E"/>
          <w:sz w:val="28"/>
          <w:szCs w:val="28"/>
        </w:rPr>
      </w:pPr>
      <w:r>
        <w:rPr>
          <w:b/>
          <w:color w:val="000000"/>
          <w:sz w:val="28"/>
          <w:szCs w:val="28"/>
        </w:rPr>
        <w:t>Відповідальна особа:</w:t>
      </w:r>
    </w:p>
    <w:p>
      <w:pPr>
        <w:pStyle w:val="Normal"/>
        <w:jc w:val="both"/>
        <w:rPr>
          <w:color w:val="C9211E"/>
          <w:sz w:val="28"/>
          <w:szCs w:val="28"/>
        </w:rPr>
      </w:pPr>
      <w:r>
        <w:rPr>
          <w:color w:val="000000"/>
          <w:sz w:val="28"/>
          <w:szCs w:val="28"/>
        </w:rPr>
        <w:t>- начальник відділу екології Лисак О.В.;</w:t>
      </w:r>
    </w:p>
    <w:p>
      <w:pPr>
        <w:pStyle w:val="Normal"/>
        <w:jc w:val="both"/>
        <w:rPr>
          <w:color w:val="C9211E"/>
          <w:sz w:val="28"/>
          <w:szCs w:val="28"/>
        </w:rPr>
      </w:pPr>
      <w:r>
        <w:rPr>
          <w:color w:val="000000"/>
          <w:sz w:val="28"/>
          <w:szCs w:val="28"/>
        </w:rPr>
        <w:t>- інженер, головний спеціаліст відділу по благоустрою міста та поводження з побутовими   відходами   департаменту   житлово-комунального   господарства</w:t>
      </w:r>
    </w:p>
    <w:p>
      <w:pPr>
        <w:pStyle w:val="Normal"/>
        <w:jc w:val="both"/>
        <w:rPr>
          <w:color w:val="C9211E"/>
        </w:rPr>
      </w:pPr>
      <w:r>
        <w:rPr>
          <w:color w:val="000000"/>
          <w:sz w:val="28"/>
          <w:szCs w:val="28"/>
        </w:rPr>
        <w:t>Бас Л.Л..</w:t>
      </w:r>
    </w:p>
    <w:p>
      <w:pPr>
        <w:pStyle w:val="Normal"/>
        <w:ind w:firstLine="709"/>
        <w:jc w:val="both"/>
        <w:rPr/>
      </w:pPr>
      <w:r>
        <w:rPr>
          <w:b/>
          <w:color w:val="000000"/>
          <w:sz w:val="28"/>
          <w:szCs w:val="28"/>
        </w:rPr>
        <w:t>Контактний телефон</w:t>
      </w:r>
      <w:r>
        <w:rPr>
          <w:color w:val="000000"/>
          <w:sz w:val="28"/>
          <w:szCs w:val="28"/>
        </w:rPr>
        <w:t xml:space="preserve"> – 724 160,  773 161 е-mail: ecology</w:t>
      </w:r>
      <w:hyperlink r:id="rId2">
        <w:r>
          <w:rPr>
            <w:color w:val="000000"/>
            <w:sz w:val="28"/>
            <w:szCs w:val="28"/>
            <w:lang w:val="ru-RU"/>
          </w:rPr>
          <w:t>@</w:t>
        </w:r>
        <w:r>
          <w:rPr>
            <w:color w:val="000000"/>
            <w:sz w:val="28"/>
            <w:szCs w:val="28"/>
            <w:lang w:val="en-US"/>
          </w:rPr>
          <w:t>lutskrada</w:t>
        </w:r>
        <w:r>
          <w:rPr>
            <w:color w:val="000000"/>
            <w:sz w:val="28"/>
            <w:szCs w:val="28"/>
            <w:lang w:val="ru-RU"/>
          </w:rPr>
          <w:t>.</w:t>
        </w:r>
        <w:r>
          <w:rPr>
            <w:color w:val="000000"/>
            <w:sz w:val="28"/>
            <w:szCs w:val="28"/>
            <w:lang w:val="en-US"/>
          </w:rPr>
          <w:t>gov</w:t>
        </w:r>
        <w:r>
          <w:rPr>
            <w:color w:val="000000"/>
            <w:sz w:val="28"/>
            <w:szCs w:val="28"/>
            <w:lang w:val="ru-RU"/>
          </w:rPr>
          <w:t>.</w:t>
        </w:r>
        <w:r>
          <w:rPr>
            <w:color w:val="000000"/>
            <w:sz w:val="28"/>
            <w:szCs w:val="28"/>
            <w:lang w:val="en-US"/>
          </w:rPr>
          <w:t>ua</w:t>
        </w:r>
      </w:hyperlink>
    </w:p>
    <w:p>
      <w:pPr>
        <w:pStyle w:val="Normal"/>
        <w:ind w:firstLine="709"/>
        <w:jc w:val="both"/>
        <w:rPr>
          <w:color w:val="C9211E"/>
          <w:sz w:val="28"/>
          <w:szCs w:val="28"/>
        </w:rPr>
      </w:pPr>
      <w:r>
        <w:rPr>
          <w:color w:val="C9211E"/>
          <w:sz w:val="28"/>
          <w:szCs w:val="28"/>
        </w:rPr>
      </w:r>
    </w:p>
    <w:tbl>
      <w:tblPr>
        <w:tblW w:w="10293" w:type="dxa"/>
        <w:jc w:val="left"/>
        <w:tblInd w:w="-68" w:type="dxa"/>
        <w:tblLayout w:type="fixed"/>
        <w:tblCellMar>
          <w:top w:w="0" w:type="dxa"/>
          <w:left w:w="113" w:type="dxa"/>
          <w:bottom w:w="0" w:type="dxa"/>
          <w:right w:w="0" w:type="dxa"/>
        </w:tblCellMar>
        <w:tblLook w:val="0000"/>
      </w:tblPr>
      <w:tblGrid>
        <w:gridCol w:w="532"/>
        <w:gridCol w:w="2097"/>
        <w:gridCol w:w="7664"/>
      </w:tblGrid>
      <w:tr>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 xml:space="preserve">№ </w:t>
            </w:r>
            <w:r>
              <w:rPr>
                <w:color w:val="000000"/>
              </w:rPr>
              <w:t>п/п</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rPr>
              <w:t>Розділ</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Опис</w:t>
            </w:r>
          </w:p>
        </w:tc>
      </w:tr>
      <w:tr>
        <w:trPr>
          <w:trHeight w:val="2219"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1.</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rPr>
              <w:t>Визначення проблеми</w:t>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firstLine="397"/>
              <w:jc w:val="both"/>
              <w:rPr>
                <w:rStyle w:val="Style16"/>
                <w:rFonts w:ascii="Times New Roman CYR" w:hAnsi="Times New Roman CYR" w:cs="Times New Roman CYR"/>
                <w:b w:val="false"/>
                <w:b w:val="false"/>
                <w:color w:val="000000"/>
              </w:rPr>
            </w:pPr>
            <w:r>
              <w:rPr>
                <w:rStyle w:val="Style16"/>
                <w:rFonts w:cs="Times New Roman CYR" w:ascii="Times New Roman CYR" w:hAnsi="Times New Roman CYR"/>
                <w:b w:val="false"/>
                <w:color w:val="000000"/>
              </w:rPr>
              <w:t>Згідно постанови КМУ від 01.08.2006 №1045 “Про затвердження Порядку видалення дерев, кущів, газонів та квітників у населених пунктах” механізм видалення зелених насаджень передбачає сплату відновної вартості зелених насаджень, що підлягають видаленню, чи зелених насаджень, які знаходяться на земельній ділянці, що приватизується. Методика визначення відновної вартості, що затверджена наказом Міністерства з питань ЖКГ України від 12.05.2009 №127 визначає принцип нарахування відновної вартості, що виражається у формулах та коефіцієнтах і не має прив’язки до гривневого еквіваленту.</w:t>
            </w:r>
          </w:p>
          <w:p>
            <w:pPr>
              <w:pStyle w:val="Normal"/>
              <w:widowControl w:val="false"/>
              <w:ind w:right="113" w:firstLine="397"/>
              <w:jc w:val="both"/>
              <w:rPr>
                <w:rStyle w:val="Style16"/>
                <w:rFonts w:ascii="Times New Roman CYR" w:hAnsi="Times New Roman CYR" w:cs="Times New Roman CYR"/>
                <w:b w:val="false"/>
                <w:b w:val="false"/>
                <w:color w:val="000000"/>
              </w:rPr>
            </w:pPr>
            <w:r>
              <w:rPr>
                <w:rStyle w:val="Style16"/>
                <w:rFonts w:cs="Times New Roman CYR" w:ascii="Times New Roman CYR" w:hAnsi="Times New Roman CYR"/>
                <w:b w:val="false"/>
                <w:color w:val="000000"/>
              </w:rPr>
              <w:t xml:space="preserve">Рішення виконавчого комітету Луцької міської ради “Про </w:t>
            </w:r>
            <w:r>
              <w:rPr>
                <w:rStyle w:val="Style16"/>
                <w:rFonts w:cs="Times New Roman CYR"/>
                <w:b w:val="false"/>
                <w:color w:val="000000"/>
                <w:lang w:bidi="hi-IN"/>
              </w:rPr>
              <w:t xml:space="preserve">затвердження показників для визначення відновної вартості зелених насаджень </w:t>
            </w:r>
            <w:r>
              <w:rPr>
                <w:rStyle w:val="Style16"/>
                <w:rFonts w:cs="Times New Roman CYR" w:ascii="Times New Roman CYR" w:hAnsi="Times New Roman CYR"/>
                <w:b w:val="false"/>
                <w:color w:val="000000"/>
              </w:rPr>
              <w:t>на території міста Луцька” від 08.12.2016 №749-1 врегульовувало дану проблему до цього часу на території м.Луцька.</w:t>
            </w:r>
          </w:p>
          <w:p>
            <w:pPr>
              <w:pStyle w:val="Normal"/>
              <w:widowControl w:val="false"/>
              <w:ind w:right="113" w:firstLine="397"/>
              <w:jc w:val="both"/>
              <w:rPr/>
            </w:pPr>
            <w:r>
              <w:rPr>
                <w:rStyle w:val="Style16"/>
                <w:rFonts w:cs="Times New Roman CYR" w:ascii="Times New Roman CYR" w:hAnsi="Times New Roman CYR"/>
                <w:b w:val="false"/>
                <w:color w:val="000000"/>
              </w:rPr>
              <w:t>З утворенням Луцької міської територіальної громади виникла необхідність визначити окремі показники до формули визначення відновної вартості та переглянути показники вартості створення та вартості утримання зелених насаджень відповідно до реальних цін, що змінились протягом 5 років з часу прийняття попереднього рішення.</w:t>
            </w:r>
          </w:p>
        </w:tc>
      </w:tr>
      <w:tr>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1а</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rPr>
              <w:t>Визначення причин  виникнення проблеми</w:t>
            </w:r>
          </w:p>
          <w:p>
            <w:pPr>
              <w:pStyle w:val="Normal"/>
              <w:widowControl w:val="false"/>
              <w:rPr>
                <w:color w:val="000000"/>
              </w:rPr>
            </w:pPr>
            <w:r>
              <w:rPr>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0"/>
              <w:jc w:val="both"/>
              <w:rPr>
                <w:color w:val="000000"/>
              </w:rPr>
            </w:pPr>
            <w:r>
              <w:rPr>
                <w:color w:val="000000"/>
              </w:rPr>
              <w:t xml:space="preserve"> </w:t>
            </w:r>
            <w:r>
              <w:rPr>
                <w:color w:val="000000"/>
              </w:rPr>
              <w:t xml:space="preserve">Після проведення адміністративно-територіальної реформи (об’єднання та створення громад) не внесено змін до чинних нормативних актів щодо методики </w:t>
            </w:r>
            <w:r>
              <w:rPr>
                <w:i/>
                <w:color w:val="000000"/>
              </w:rPr>
              <w:t>визначення відновної вартості зелених насаджень на територіях  громад.</w:t>
            </w:r>
          </w:p>
          <w:p>
            <w:pPr>
              <w:pStyle w:val="Normal"/>
              <w:widowControl w:val="false"/>
              <w:ind w:right="113" w:hanging="0"/>
              <w:jc w:val="both"/>
              <w:rPr>
                <w:color w:val="000000"/>
              </w:rPr>
            </w:pPr>
            <w:r>
              <w:rPr>
                <w:color w:val="000000"/>
              </w:rPr>
              <w:t xml:space="preserve">    </w:t>
            </w:r>
            <w:r>
              <w:rPr>
                <w:color w:val="000000"/>
              </w:rPr>
              <w:t>Органи місцевого самоврядування розглядаючи звернення громадян та юридичних осіб повинні визначати відновну вартість насаджень та приймати рішення про їх видалення чи передачу у приватну власність</w:t>
            </w:r>
          </w:p>
        </w:tc>
      </w:tr>
      <w:tr>
        <w:trPr>
          <w:trHeight w:val="105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1б</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Визначити основні групи (підгрупи), на які проблема справляє вплив</w:t>
            </w:r>
          </w:p>
          <w:p>
            <w:pPr>
              <w:pStyle w:val="Normal"/>
              <w:widowControl w:val="false"/>
              <w:rPr>
                <w:b/>
                <w:b/>
                <w:color w:val="000000"/>
              </w:rPr>
            </w:pPr>
            <w:r>
              <w:rPr>
                <w:b/>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650" w:type="dxa"/>
              <w:jc w:val="left"/>
              <w:tblInd w:w="0" w:type="dxa"/>
              <w:tblLayout w:type="fixed"/>
              <w:tblCellMar>
                <w:top w:w="0" w:type="dxa"/>
                <w:left w:w="5" w:type="dxa"/>
                <w:bottom w:w="0" w:type="dxa"/>
                <w:right w:w="0" w:type="dxa"/>
              </w:tblCellMar>
              <w:tblLook w:val="0000"/>
            </w:tblPr>
            <w:tblGrid>
              <w:gridCol w:w="4332"/>
              <w:gridCol w:w="1621"/>
              <w:gridCol w:w="1697"/>
            </w:tblGrid>
            <w:tr>
              <w:trPr>
                <w:trHeight w:val="567" w:hRule="atLeast"/>
              </w:trPr>
              <w:tc>
                <w:tcPr>
                  <w:tcW w:w="433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Групи (підгрупи)</w:t>
                  </w:r>
                </w:p>
              </w:tc>
              <w:tc>
                <w:tcPr>
                  <w:tcW w:w="16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150" w:after="150"/>
                    <w:jc w:val="center"/>
                    <w:textAlignment w:val="baseline"/>
                    <w:rPr>
                      <w:color w:val="000000"/>
                    </w:rPr>
                  </w:pPr>
                  <w:r>
                    <w:rPr>
                      <w:color w:val="000000"/>
                    </w:rPr>
                    <w:t>Так</w:t>
                  </w:r>
                </w:p>
              </w:tc>
              <w:tc>
                <w:tcPr>
                  <w:tcW w:w="16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Ні</w:t>
                  </w:r>
                </w:p>
              </w:tc>
            </w:tr>
            <w:tr>
              <w:trPr>
                <w:trHeight w:val="587" w:hRule="atLeast"/>
              </w:trPr>
              <w:tc>
                <w:tcPr>
                  <w:tcW w:w="433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Громадяни</w:t>
                  </w:r>
                </w:p>
              </w:tc>
              <w:tc>
                <w:tcPr>
                  <w:tcW w:w="16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150" w:after="150"/>
                    <w:jc w:val="center"/>
                    <w:textAlignment w:val="baseline"/>
                    <w:rPr>
                      <w:color w:val="000000"/>
                    </w:rPr>
                  </w:pPr>
                  <w:r>
                    <w:rPr>
                      <w:color w:val="000000"/>
                    </w:rPr>
                    <w:t>Так</w:t>
                  </w:r>
                </w:p>
              </w:tc>
              <w:tc>
                <w:tcPr>
                  <w:tcW w:w="16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jc w:val="center"/>
                    <w:textAlignment w:val="baseline"/>
                    <w:rPr>
                      <w:color w:val="000000"/>
                    </w:rPr>
                  </w:pPr>
                  <w:r>
                    <w:rPr>
                      <w:color w:val="000000"/>
                    </w:rPr>
                  </w:r>
                </w:p>
              </w:tc>
            </w:tr>
            <w:tr>
              <w:trPr>
                <w:trHeight w:val="511" w:hRule="atLeast"/>
              </w:trPr>
              <w:tc>
                <w:tcPr>
                  <w:tcW w:w="433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Органи місцевого самоврядування</w:t>
                  </w:r>
                </w:p>
              </w:tc>
              <w:tc>
                <w:tcPr>
                  <w:tcW w:w="1621"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Так</w:t>
                  </w:r>
                </w:p>
              </w:tc>
              <w:tc>
                <w:tcPr>
                  <w:tcW w:w="16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r>
                </w:p>
              </w:tc>
            </w:tr>
            <w:tr>
              <w:trPr>
                <w:trHeight w:val="587" w:hRule="atLeast"/>
              </w:trPr>
              <w:tc>
                <w:tcPr>
                  <w:tcW w:w="433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Суб’єкти господарювання</w:t>
                  </w:r>
                </w:p>
              </w:tc>
              <w:tc>
                <w:tcPr>
                  <w:tcW w:w="1621"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Так</w:t>
                  </w:r>
                </w:p>
              </w:tc>
              <w:tc>
                <w:tcPr>
                  <w:tcW w:w="16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r>
                </w:p>
              </w:tc>
            </w:tr>
            <w:tr>
              <w:trPr>
                <w:trHeight w:val="657" w:hRule="atLeast"/>
              </w:trPr>
              <w:tc>
                <w:tcPr>
                  <w:tcW w:w="433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у тому числі суб’єкти малого підприємництва</w:t>
                  </w:r>
                </w:p>
              </w:tc>
              <w:tc>
                <w:tcPr>
                  <w:tcW w:w="1621"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Так</w:t>
                  </w:r>
                </w:p>
              </w:tc>
              <w:tc>
                <w:tcPr>
                  <w:tcW w:w="16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r>
                </w:p>
              </w:tc>
            </w:tr>
          </w:tbl>
          <w:p>
            <w:pPr>
              <w:pStyle w:val="Normal"/>
              <w:widowControl w:val="false"/>
              <w:rPr>
                <w:color w:val="000000"/>
              </w:rPr>
            </w:pPr>
            <w:r>
              <w:rPr>
                <w:color w:val="000000"/>
              </w:rPr>
            </w:r>
          </w:p>
        </w:tc>
      </w:tr>
      <w:tr>
        <w:trPr>
          <w:trHeight w:val="105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1в</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Зазначити, чому проблема не може бути розв’язана за допомогою ринкових механізмів</w:t>
            </w:r>
            <w:bookmarkStart w:id="0" w:name="n98"/>
            <w:bookmarkEnd w:id="0"/>
            <w:r>
              <w:rPr>
                <w:color w:val="000000"/>
              </w:rPr>
              <w:t xml:space="preserve"> або за допомогою діючих регуляторних актів</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firstLine="397"/>
              <w:jc w:val="both"/>
              <w:rPr>
                <w:color w:val="000000"/>
              </w:rPr>
            </w:pPr>
            <w:r>
              <w:rPr>
                <w:color w:val="000000"/>
              </w:rPr>
              <w:t>Дана проблема не може бути розв’язана за допомогою ринкових механізмів або за допомогою діючих регуляторних актів, оскільки змінні показники до формули розрахунку відновлюваної вартості зелених насаджень необхідно розрахувати відповідно до реальних цін на матеріали та послуги, та затвердити зони містобудівної цінності на території громади, як в межах, так і за межами населених пунктів громади. Тільки органи місцевого самоврядування мають повноваження на реалізацію механізму визначення відновної вартості зелених насаджень відповідно до Методики.</w:t>
            </w:r>
          </w:p>
        </w:tc>
      </w:tr>
      <w:tr>
        <w:trPr>
          <w:trHeight w:val="567"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2</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Цілі регулювання</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70" w:hanging="0"/>
              <w:jc w:val="both"/>
              <w:rPr>
                <w:color w:val="000000"/>
              </w:rPr>
            </w:pPr>
            <w:r>
              <w:rPr>
                <w:color w:val="000000"/>
              </w:rPr>
              <w:t xml:space="preserve">    </w:t>
            </w:r>
            <w:r>
              <w:rPr>
                <w:color w:val="000000"/>
              </w:rPr>
              <w:t>Врегулювання правових і фінансових відносин між підприємствами, організаціями, установами та закладами, фізичними і юридичними особами, які виникають під час необхідності видалення зелених насаджень чи передачі земельних ділянок у приватну власність.</w:t>
            </w:r>
          </w:p>
          <w:p>
            <w:pPr>
              <w:pStyle w:val="Western"/>
              <w:keepNext w:val="true"/>
              <w:widowControl w:val="false"/>
              <w:spacing w:before="280" w:after="280"/>
              <w:rPr>
                <w:color w:val="FF0000"/>
                <w:sz w:val="24"/>
                <w:szCs w:val="24"/>
                <w:lang w:val="ru-RU"/>
              </w:rPr>
            </w:pPr>
            <w:r>
              <w:rPr>
                <w:sz w:val="24"/>
                <w:szCs w:val="24"/>
                <w:lang w:val="ru-RU"/>
              </w:rPr>
              <w:t xml:space="preserve">    </w:t>
            </w:r>
            <w:r>
              <w:rPr>
                <w:color w:val="000000"/>
                <w:sz w:val="24"/>
                <w:szCs w:val="24"/>
                <w:lang w:val="ru-RU"/>
              </w:rPr>
              <w:t>Перегляд діючих показників для розрахунку відновної вартості зелених насаджень та приведення їх до економічно обґрунтованих витрат.</w:t>
            </w:r>
          </w:p>
          <w:p>
            <w:pPr>
              <w:pStyle w:val="Western"/>
              <w:keepNext w:val="true"/>
              <w:widowControl w:val="false"/>
              <w:spacing w:before="280" w:after="280"/>
              <w:rPr>
                <w:color w:val="000000"/>
                <w:sz w:val="24"/>
              </w:rPr>
            </w:pPr>
            <w:r>
              <w:rPr>
                <w:color w:val="000000"/>
                <w:sz w:val="24"/>
                <w:szCs w:val="24"/>
                <w:shd w:fill="FFFFFF" w:val="clear"/>
                <w:lang w:val="ru-RU"/>
              </w:rPr>
              <w:t xml:space="preserve">    </w:t>
            </w:r>
            <w:r>
              <w:rPr>
                <w:color w:val="000000"/>
                <w:sz w:val="24"/>
                <w:szCs w:val="24"/>
                <w:shd w:fill="FFFFFF" w:val="clear"/>
                <w:lang w:val="ru-RU"/>
              </w:rPr>
              <w:t>С</w:t>
            </w:r>
            <w:r>
              <w:rPr>
                <w:color w:val="000000"/>
                <w:sz w:val="24"/>
                <w:szCs w:val="24"/>
                <w:shd w:fill="FFFFFF" w:val="clear"/>
              </w:rPr>
              <w:t>творення єдиної цілісної впорядкованої структурованої та прозорої системи при визначенні відновної вартості зелених насаджень на території Луцької міської територіальної громади.</w:t>
            </w:r>
          </w:p>
          <w:p>
            <w:pPr>
              <w:pStyle w:val="Normal"/>
              <w:widowControl w:val="false"/>
              <w:jc w:val="both"/>
              <w:rPr>
                <w:color w:val="000000"/>
              </w:rPr>
            </w:pPr>
            <w:r>
              <w:rPr>
                <w:color w:val="000000"/>
              </w:rPr>
            </w:r>
          </w:p>
        </w:tc>
      </w:tr>
      <w:tr>
        <w:trPr>
          <w:trHeight w:val="105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Визначення альтернативних способів</w:t>
            </w:r>
          </w:p>
          <w:p>
            <w:pPr>
              <w:pStyle w:val="Normal"/>
              <w:widowControl w:val="false"/>
              <w:jc w:val="both"/>
              <w:rPr>
                <w:color w:val="000000"/>
              </w:rPr>
            </w:pPr>
            <w:r>
              <w:rPr>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650" w:type="dxa"/>
              <w:jc w:val="left"/>
              <w:tblInd w:w="0" w:type="dxa"/>
              <w:tblLayout w:type="fixed"/>
              <w:tblCellMar>
                <w:top w:w="0" w:type="dxa"/>
                <w:left w:w="5" w:type="dxa"/>
                <w:bottom w:w="0" w:type="dxa"/>
                <w:right w:w="0" w:type="dxa"/>
              </w:tblCellMar>
              <w:tblLook w:val="0000"/>
            </w:tblPr>
            <w:tblGrid>
              <w:gridCol w:w="2220"/>
              <w:gridCol w:w="5429"/>
            </w:tblGrid>
            <w:tr>
              <w:trPr/>
              <w:tc>
                <w:tcPr>
                  <w:tcW w:w="222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Вид альтернативи</w:t>
                  </w:r>
                </w:p>
              </w:tc>
              <w:tc>
                <w:tcPr>
                  <w:tcW w:w="5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Опис альтернативи</w:t>
                  </w:r>
                </w:p>
              </w:tc>
            </w:tr>
            <w:tr>
              <w:trPr>
                <w:trHeight w:val="554" w:hRule="atLeast"/>
              </w:trPr>
              <w:tc>
                <w:tcPr>
                  <w:tcW w:w="222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firstLine="182"/>
                    <w:textAlignment w:val="baseline"/>
                    <w:rPr>
                      <w:color w:val="000000"/>
                    </w:rPr>
                  </w:pPr>
                  <w:r>
                    <w:rPr>
                      <w:color w:val="000000"/>
                    </w:rPr>
                    <w:t>Альтернатива 1</w:t>
                  </w:r>
                </w:p>
              </w:tc>
              <w:tc>
                <w:tcPr>
                  <w:tcW w:w="5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27" w:right="83" w:hanging="0"/>
                    <w:rPr>
                      <w:color w:val="000000"/>
                    </w:rPr>
                  </w:pPr>
                  <w:r>
                    <w:rPr>
                      <w:color w:val="000000"/>
                    </w:rPr>
                    <w:t>Збереження існуючого стану</w:t>
                  </w:r>
                </w:p>
              </w:tc>
            </w:tr>
            <w:tr>
              <w:trPr/>
              <w:tc>
                <w:tcPr>
                  <w:tcW w:w="222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firstLine="182"/>
                    <w:textAlignment w:val="baseline"/>
                    <w:rPr>
                      <w:color w:val="000000"/>
                    </w:rPr>
                  </w:pPr>
                  <w:r>
                    <w:rPr>
                      <w:color w:val="000000"/>
                    </w:rPr>
                    <w:t>Альтернатива 2</w:t>
                  </w:r>
                </w:p>
              </w:tc>
              <w:tc>
                <w:tcPr>
                  <w:tcW w:w="5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27" w:right="83" w:hanging="0"/>
                    <w:rPr>
                      <w:color w:val="000000"/>
                    </w:rPr>
                  </w:pPr>
                  <w:r>
                    <w:rPr>
                      <w:color w:val="000000"/>
                    </w:rPr>
                    <w:t>Прийняти запропонований проєкт регуляторного акта</w:t>
                  </w:r>
                </w:p>
              </w:tc>
            </w:tr>
            <w:tr>
              <w:trPr/>
              <w:tc>
                <w:tcPr>
                  <w:tcW w:w="222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firstLine="182"/>
                    <w:textAlignment w:val="baseline"/>
                    <w:rPr>
                      <w:color w:val="000000"/>
                    </w:rPr>
                  </w:pPr>
                  <w:r>
                    <w:rPr>
                      <w:color w:val="000000"/>
                    </w:rPr>
                    <w:t>Альтернатива 3</w:t>
                  </w:r>
                </w:p>
              </w:tc>
              <w:tc>
                <w:tcPr>
                  <w:tcW w:w="5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textAlignment w:val="baseline"/>
                    <w:rPr>
                      <w:color w:val="000000"/>
                    </w:rPr>
                  </w:pPr>
                  <w:r>
                    <w:rPr>
                      <w:color w:val="000000"/>
                    </w:rPr>
                    <w:t>Очікування прийняття нормативно-правових актів на загальнодержавному рівні</w:t>
                  </w:r>
                </w:p>
              </w:tc>
            </w:tr>
          </w:tbl>
          <w:p>
            <w:pPr>
              <w:pStyle w:val="Normal"/>
              <w:widowControl w:val="false"/>
              <w:rPr>
                <w:color w:val="000000"/>
              </w:rPr>
            </w:pPr>
            <w:r>
              <w:rPr>
                <w:color w:val="000000"/>
              </w:rPr>
            </w:r>
          </w:p>
        </w:tc>
      </w:tr>
      <w:tr>
        <w:trPr>
          <w:trHeight w:val="105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3а</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Оцінка вибраних альтернативних способів досягнення цілей</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450"/>
              <w:jc w:val="both"/>
              <w:textAlignment w:val="baseline"/>
              <w:rPr>
                <w:color w:val="000000"/>
              </w:rPr>
            </w:pPr>
            <w:r>
              <w:rPr>
                <w:color w:val="000000"/>
              </w:rPr>
            </w:r>
          </w:p>
        </w:tc>
      </w:tr>
      <w:tr>
        <w:trPr>
          <w:trHeight w:val="7995"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3б</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bookmarkStart w:id="1" w:name="n117"/>
            <w:bookmarkEnd w:id="1"/>
            <w:r>
              <w:rPr>
                <w:color w:val="000000"/>
              </w:rPr>
              <w:t>Оцінка впливу на сферу інтересів держави (органу місцевого самоврядування)</w:t>
            </w:r>
          </w:p>
          <w:p>
            <w:pPr>
              <w:pStyle w:val="Normal"/>
              <w:widowControl w:val="false"/>
              <w:ind w:firstLine="450"/>
              <w:textAlignment w:val="baseline"/>
              <w:rPr>
                <w:b/>
                <w:b/>
                <w:color w:val="000000"/>
              </w:rPr>
            </w:pPr>
            <w:r>
              <w:rPr>
                <w:b/>
                <w:color w:val="000000"/>
              </w:rPr>
            </w:r>
          </w:p>
          <w:p>
            <w:pPr>
              <w:pStyle w:val="Normal"/>
              <w:widowControl w:val="false"/>
              <w:ind w:firstLine="450"/>
              <w:textAlignment w:val="baseline"/>
              <w:rPr>
                <w:b/>
                <w:b/>
                <w:color w:val="000000"/>
              </w:rPr>
            </w:pPr>
            <w:r>
              <w:rPr>
                <w:b/>
                <w:color w:val="000000"/>
              </w:rPr>
            </w:r>
          </w:p>
          <w:p>
            <w:pPr>
              <w:pStyle w:val="Normal"/>
              <w:widowControl w:val="false"/>
              <w:ind w:firstLine="450"/>
              <w:textAlignment w:val="baseline"/>
              <w:rPr>
                <w:b/>
                <w:b/>
                <w:color w:val="000000"/>
              </w:rPr>
            </w:pPr>
            <w:r>
              <w:rPr>
                <w:b/>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705" w:type="dxa"/>
              <w:jc w:val="left"/>
              <w:tblInd w:w="0" w:type="dxa"/>
              <w:tblLayout w:type="fixed"/>
              <w:tblCellMar>
                <w:top w:w="0" w:type="dxa"/>
                <w:left w:w="5" w:type="dxa"/>
                <w:bottom w:w="0" w:type="dxa"/>
                <w:right w:w="0" w:type="dxa"/>
              </w:tblCellMar>
              <w:tblLook w:val="0000"/>
            </w:tblPr>
            <w:tblGrid>
              <w:gridCol w:w="2098"/>
              <w:gridCol w:w="2535"/>
              <w:gridCol w:w="3072"/>
            </w:tblGrid>
            <w:tr>
              <w:trPr>
                <w:trHeight w:val="570" w:hRule="atLeast"/>
              </w:trPr>
              <w:tc>
                <w:tcPr>
                  <w:tcW w:w="209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Вид альтернативи</w:t>
                  </w:r>
                </w:p>
              </w:tc>
              <w:tc>
                <w:tcPr>
                  <w:tcW w:w="2535"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Вигоди</w:t>
                  </w:r>
                </w:p>
              </w:tc>
              <w:tc>
                <w:tcPr>
                  <w:tcW w:w="3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Витрати</w:t>
                  </w:r>
                </w:p>
              </w:tc>
            </w:tr>
            <w:tr>
              <w:trPr>
                <w:trHeight w:val="417" w:hRule="atLeast"/>
              </w:trPr>
              <w:tc>
                <w:tcPr>
                  <w:tcW w:w="209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b/>
                      <w:bCs/>
                      <w:color w:val="000000"/>
                    </w:rPr>
                    <w:t>Альтернатива 1</w:t>
                  </w:r>
                </w:p>
                <w:p>
                  <w:pPr>
                    <w:pStyle w:val="Normal"/>
                    <w:widowControl w:val="false"/>
                    <w:spacing w:before="150" w:after="150"/>
                    <w:jc w:val="center"/>
                    <w:textAlignment w:val="baseline"/>
                    <w:rPr>
                      <w:color w:val="000000"/>
                    </w:rPr>
                  </w:pPr>
                  <w:r>
                    <w:rPr>
                      <w:color w:val="000000"/>
                    </w:rPr>
                    <w:t>Збереження існуючого стану</w:t>
                  </w:r>
                </w:p>
                <w:p>
                  <w:pPr>
                    <w:pStyle w:val="Normal"/>
                    <w:widowControl w:val="false"/>
                    <w:spacing w:before="150" w:after="150"/>
                    <w:jc w:val="center"/>
                    <w:textAlignment w:val="baseline"/>
                    <w:rPr>
                      <w:color w:val="000000"/>
                    </w:rPr>
                  </w:pPr>
                  <w:r>
                    <w:rPr>
                      <w:color w:val="000000"/>
                    </w:rPr>
                  </w:r>
                </w:p>
              </w:tc>
              <w:tc>
                <w:tcPr>
                  <w:tcW w:w="2535"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Відсутні.</w:t>
                  </w:r>
                </w:p>
              </w:tc>
              <w:tc>
                <w:tcPr>
                  <w:tcW w:w="3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80" w:hanging="0"/>
                    <w:jc w:val="center"/>
                    <w:rPr>
                      <w:color w:val="000000"/>
                      <w:sz w:val="14"/>
                      <w:szCs w:val="14"/>
                    </w:rPr>
                  </w:pPr>
                  <w:r>
                    <w:rPr>
                      <w:color w:val="000000"/>
                      <w:sz w:val="14"/>
                      <w:szCs w:val="14"/>
                    </w:rPr>
                  </w:r>
                </w:p>
                <w:p>
                  <w:pPr>
                    <w:pStyle w:val="Normal"/>
                    <w:widowControl w:val="false"/>
                    <w:ind w:right="480" w:hanging="0"/>
                    <w:jc w:val="center"/>
                    <w:rPr>
                      <w:color w:val="000000"/>
                    </w:rPr>
                  </w:pPr>
                  <w:r>
                    <w:rPr>
                      <w:color w:val="000000"/>
                    </w:rPr>
                    <w:t>Недоотримання коштів</w:t>
                  </w:r>
                </w:p>
              </w:tc>
            </w:tr>
            <w:tr>
              <w:trPr>
                <w:trHeight w:val="1470" w:hRule="atLeast"/>
              </w:trPr>
              <w:tc>
                <w:tcPr>
                  <w:tcW w:w="209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b/>
                      <w:bCs/>
                      <w:color w:val="000000"/>
                    </w:rPr>
                    <w:t>Альтернатива 2</w:t>
                  </w:r>
                </w:p>
                <w:p>
                  <w:pPr>
                    <w:pStyle w:val="Normal"/>
                    <w:widowControl w:val="false"/>
                    <w:spacing w:before="150" w:after="150"/>
                    <w:jc w:val="center"/>
                    <w:textAlignment w:val="baseline"/>
                    <w:rPr>
                      <w:color w:val="000000"/>
                    </w:rPr>
                  </w:pPr>
                  <w:r>
                    <w:rPr>
                      <w:color w:val="000000"/>
                    </w:rPr>
                    <w:t>Прийняти запропонований проєкт регуляторного акта</w:t>
                  </w:r>
                </w:p>
              </w:tc>
              <w:tc>
                <w:tcPr>
                  <w:tcW w:w="25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rPr>
                    <w:t>Впровадження дозволить</w:t>
                  </w:r>
                  <w:r>
                    <w:rPr>
                      <w:color w:val="000000"/>
                      <w:szCs w:val="28"/>
                    </w:rPr>
                    <w:t xml:space="preserve">   розраховувати суми відновної вартості зелених насаджень відповідно до реальних затрат на їх створення та утримання на території громади,  збільшить надходження до місцевого бюджету</w:t>
                  </w:r>
                </w:p>
              </w:tc>
              <w:tc>
                <w:tcPr>
                  <w:tcW w:w="3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right="741" w:hanging="0"/>
                    <w:jc w:val="center"/>
                    <w:textAlignment w:val="baseline"/>
                    <w:rPr>
                      <w:color w:val="000000"/>
                    </w:rPr>
                  </w:pPr>
                  <w:r>
                    <w:rPr>
                      <w:color w:val="000000"/>
                    </w:rPr>
                    <w:t>Опублікування проєкту документа в засобах масової інформації та ухвалення виконавчим комітетом міської ради нормативного акта.</w:t>
                  </w:r>
                </w:p>
              </w:tc>
            </w:tr>
            <w:tr>
              <w:trPr/>
              <w:tc>
                <w:tcPr>
                  <w:tcW w:w="209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b/>
                      <w:bCs/>
                      <w:color w:val="000000"/>
                    </w:rPr>
                    <w:t>Альтернатива 3</w:t>
                  </w:r>
                </w:p>
                <w:p>
                  <w:pPr>
                    <w:pStyle w:val="Normal"/>
                    <w:widowControl w:val="false"/>
                    <w:spacing w:before="150" w:after="150"/>
                    <w:jc w:val="center"/>
                    <w:textAlignment w:val="baseline"/>
                    <w:rPr>
                      <w:color w:val="000000"/>
                    </w:rPr>
                  </w:pPr>
                  <w:r>
                    <w:rPr>
                      <w:color w:val="000000"/>
                    </w:rPr>
                    <w:t>Очікування прийняття нормативно-правових актів на загальнодержавному рівні</w:t>
                  </w:r>
                </w:p>
              </w:tc>
              <w:tc>
                <w:tcPr>
                  <w:tcW w:w="2535"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Відсутні</w:t>
                  </w:r>
                </w:p>
              </w:tc>
              <w:tc>
                <w:tcPr>
                  <w:tcW w:w="3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80" w:hanging="0"/>
                    <w:jc w:val="center"/>
                    <w:rPr>
                      <w:color w:val="000000"/>
                      <w:sz w:val="14"/>
                      <w:szCs w:val="14"/>
                    </w:rPr>
                  </w:pPr>
                  <w:r>
                    <w:rPr>
                      <w:color w:val="000000"/>
                      <w:sz w:val="14"/>
                      <w:szCs w:val="14"/>
                    </w:rPr>
                  </w:r>
                </w:p>
                <w:p>
                  <w:pPr>
                    <w:pStyle w:val="Normal"/>
                    <w:widowControl w:val="false"/>
                    <w:ind w:right="480" w:hanging="0"/>
                    <w:jc w:val="center"/>
                    <w:rPr>
                      <w:color w:val="000000"/>
                    </w:rPr>
                  </w:pPr>
                  <w:r>
                    <w:rPr>
                      <w:color w:val="000000"/>
                    </w:rPr>
                    <w:t>Недоотримання коштів</w:t>
                  </w:r>
                </w:p>
              </w:tc>
            </w:tr>
          </w:tbl>
          <w:p>
            <w:pPr>
              <w:pStyle w:val="Normal"/>
              <w:widowControl w:val="false"/>
              <w:rPr>
                <w:color w:val="000000"/>
              </w:rPr>
            </w:pPr>
            <w:r>
              <w:rPr>
                <w:color w:val="000000"/>
              </w:rPr>
            </w:r>
          </w:p>
        </w:tc>
      </w:tr>
      <w:tr>
        <w:trPr>
          <w:trHeight w:val="105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3в</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Оцінка впливу на сферу інтересів громадян</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705" w:type="dxa"/>
              <w:jc w:val="left"/>
              <w:tblInd w:w="0" w:type="dxa"/>
              <w:tblLayout w:type="fixed"/>
              <w:tblCellMar>
                <w:top w:w="0" w:type="dxa"/>
                <w:left w:w="5" w:type="dxa"/>
                <w:bottom w:w="0" w:type="dxa"/>
                <w:right w:w="0" w:type="dxa"/>
              </w:tblCellMar>
              <w:tblLook w:val="0000"/>
            </w:tblPr>
            <w:tblGrid>
              <w:gridCol w:w="2100"/>
              <w:gridCol w:w="2519"/>
              <w:gridCol w:w="3086"/>
            </w:tblGrid>
            <w:tr>
              <w:trPr/>
              <w:tc>
                <w:tcPr>
                  <w:tcW w:w="210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Вид альтернативи</w:t>
                  </w:r>
                </w:p>
              </w:tc>
              <w:tc>
                <w:tcPr>
                  <w:tcW w:w="251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Вигоди</w:t>
                  </w:r>
                </w:p>
              </w:tc>
              <w:tc>
                <w:tcPr>
                  <w:tcW w:w="3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Витрати</w:t>
                  </w:r>
                </w:p>
              </w:tc>
            </w:tr>
            <w:tr>
              <w:trPr/>
              <w:tc>
                <w:tcPr>
                  <w:tcW w:w="210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57" w:hanging="0"/>
                    <w:textAlignment w:val="baseline"/>
                    <w:rPr>
                      <w:color w:val="000000"/>
                    </w:rPr>
                  </w:pPr>
                  <w:r>
                    <w:rPr>
                      <w:b/>
                      <w:bCs/>
                      <w:color w:val="000000"/>
                    </w:rPr>
                    <w:t xml:space="preserve">Альтернатива 1 </w:t>
                  </w:r>
                  <w:r>
                    <w:rPr>
                      <w:color w:val="000000"/>
                    </w:rPr>
                    <w:t>Збереження існуючого стану</w:t>
                  </w:r>
                </w:p>
              </w:tc>
              <w:tc>
                <w:tcPr>
                  <w:tcW w:w="251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Менший розмір плати за відновну вартість</w:t>
                  </w:r>
                </w:p>
              </w:tc>
              <w:tc>
                <w:tcPr>
                  <w:tcW w:w="3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ind w:right="57" w:hanging="0"/>
                    <w:jc w:val="center"/>
                    <w:textAlignment w:val="baseline"/>
                    <w:rPr>
                      <w:color w:val="000000"/>
                    </w:rPr>
                  </w:pPr>
                  <w:r>
                    <w:rPr>
                      <w:color w:val="000000"/>
                    </w:rPr>
                    <w:t>Додаткові витрати відсутні</w:t>
                  </w:r>
                </w:p>
              </w:tc>
            </w:tr>
            <w:tr>
              <w:trPr/>
              <w:tc>
                <w:tcPr>
                  <w:tcW w:w="210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57" w:hanging="0"/>
                    <w:textAlignment w:val="baseline"/>
                    <w:rPr>
                      <w:color w:val="000000"/>
                    </w:rPr>
                  </w:pPr>
                  <w:r>
                    <w:rPr>
                      <w:b/>
                      <w:bCs/>
                      <w:color w:val="000000"/>
                    </w:rPr>
                    <w:t>Альтернатива 2</w:t>
                  </w:r>
                  <w:r>
                    <w:rPr>
                      <w:color w:val="000000"/>
                    </w:rPr>
                    <w:t xml:space="preserve"> Прийняти запропонований проєкт регуляторного акта</w:t>
                  </w:r>
                </w:p>
              </w:tc>
              <w:tc>
                <w:tcPr>
                  <w:tcW w:w="25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textAlignment w:val="baseline"/>
                    <w:rPr>
                      <w:color w:val="000000"/>
                    </w:rPr>
                  </w:pPr>
                  <w:r>
                    <w:rPr>
                      <w:color w:val="000000"/>
                    </w:rPr>
                    <w:t>Наявність можливості приватизації земельних ділянок, на яких знаходяться зелені насадження,   чіткий механізм визначення відновної вартості   при знесенні насаджень</w:t>
                  </w:r>
                </w:p>
              </w:tc>
              <w:tc>
                <w:tcPr>
                  <w:tcW w:w="3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ind w:right="57" w:hanging="0"/>
                    <w:jc w:val="center"/>
                    <w:textAlignment w:val="baseline"/>
                    <w:rPr>
                      <w:color w:val="000000"/>
                    </w:rPr>
                  </w:pPr>
                  <w:r>
                    <w:rPr>
                      <w:color w:val="000000"/>
                    </w:rPr>
                    <w:t>Витрати на сплату відновної вартості зелених насаджень  збільшаться  орієнтовно в 3 рази</w:t>
                  </w:r>
                </w:p>
              </w:tc>
            </w:tr>
            <w:tr>
              <w:trPr>
                <w:trHeight w:val="468" w:hRule="atLeast"/>
              </w:trPr>
              <w:tc>
                <w:tcPr>
                  <w:tcW w:w="2100"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b/>
                      <w:bCs/>
                      <w:color w:val="000000"/>
                    </w:rPr>
                    <w:t xml:space="preserve">Альтернатива 3 </w:t>
                  </w:r>
                  <w:r>
                    <w:rPr>
                      <w:color w:val="000000"/>
                    </w:rPr>
                    <w:t>Очікування прийняття нормативно-правових актів на загальнодержавному рівні</w:t>
                  </w:r>
                </w:p>
              </w:tc>
              <w:tc>
                <w:tcPr>
                  <w:tcW w:w="251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57" w:hanging="0"/>
                    <w:jc w:val="center"/>
                    <w:textAlignment w:val="baseline"/>
                    <w:rPr>
                      <w:color w:val="000000"/>
                    </w:rPr>
                  </w:pPr>
                  <w:r>
                    <w:rPr>
                      <w:color w:val="000000"/>
                    </w:rPr>
                    <w:t>Процедури, пов’язані з визначенням відновної вартості зелених насаджень на території м.Луцька залишаються без змін, на території громади не врегульовані</w:t>
                  </w:r>
                </w:p>
              </w:tc>
              <w:tc>
                <w:tcPr>
                  <w:tcW w:w="3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ind w:right="57" w:hanging="0"/>
                    <w:jc w:val="center"/>
                    <w:textAlignment w:val="baseline"/>
                    <w:rPr>
                      <w:color w:val="000000"/>
                    </w:rPr>
                  </w:pPr>
                  <w:r>
                    <w:rPr>
                      <w:color w:val="000000"/>
                    </w:rPr>
                    <w:t>Додаткові витрати відсутні</w:t>
                  </w:r>
                </w:p>
              </w:tc>
            </w:tr>
          </w:tbl>
          <w:p>
            <w:pPr>
              <w:pStyle w:val="Normal"/>
              <w:widowControl w:val="false"/>
              <w:rPr>
                <w:color w:val="000000"/>
              </w:rPr>
            </w:pPr>
            <w:r>
              <w:rPr>
                <w:color w:val="000000"/>
              </w:rPr>
            </w:r>
          </w:p>
        </w:tc>
      </w:tr>
      <w:tr>
        <w:trPr>
          <w:trHeight w:val="8673"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3г</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Оцінка впливу на сферу інтересів суб’єктів господарювання</w:t>
            </w:r>
          </w:p>
          <w:p>
            <w:pPr>
              <w:pStyle w:val="Normal"/>
              <w:widowControl w:val="false"/>
              <w:ind w:firstLine="450"/>
              <w:jc w:val="both"/>
              <w:textAlignment w:val="baseline"/>
              <w:rPr>
                <w:b/>
                <w:b/>
                <w:color w:val="000000"/>
              </w:rPr>
            </w:pPr>
            <w:r>
              <w:rPr>
                <w:b/>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650" w:type="dxa"/>
              <w:jc w:val="left"/>
              <w:tblInd w:w="0" w:type="dxa"/>
              <w:tblLayout w:type="fixed"/>
              <w:tblCellMar>
                <w:top w:w="0" w:type="dxa"/>
                <w:left w:w="5" w:type="dxa"/>
                <w:bottom w:w="0" w:type="dxa"/>
                <w:right w:w="5" w:type="dxa"/>
              </w:tblCellMar>
              <w:tblLook w:val="0000"/>
            </w:tblPr>
            <w:tblGrid>
              <w:gridCol w:w="2037"/>
              <w:gridCol w:w="2477"/>
              <w:gridCol w:w="3136"/>
            </w:tblGrid>
            <w:tr>
              <w:trPr/>
              <w:tc>
                <w:tcPr>
                  <w:tcW w:w="765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Стосується всіх суб’єктів господарювання, які розміщені на території Луцької міської громади</w:t>
                  </w:r>
                </w:p>
              </w:tc>
            </w:tr>
            <w:tr>
              <w:trPr/>
              <w:tc>
                <w:tcPr>
                  <w:tcW w:w="2037"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bookmarkStart w:id="2" w:name="n143"/>
                  <w:bookmarkEnd w:id="2"/>
                  <w:r>
                    <w:rPr>
                      <w:color w:val="000000"/>
                    </w:rPr>
                    <w:t>Вид альтернативи</w:t>
                  </w:r>
                </w:p>
              </w:tc>
              <w:tc>
                <w:tcPr>
                  <w:tcW w:w="2477"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Вигоди</w:t>
                  </w:r>
                </w:p>
              </w:tc>
              <w:tc>
                <w:tcPr>
                  <w:tcW w:w="3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Витрати</w:t>
                  </w:r>
                </w:p>
              </w:tc>
            </w:tr>
            <w:tr>
              <w:trPr>
                <w:trHeight w:val="698" w:hRule="atLeast"/>
              </w:trPr>
              <w:tc>
                <w:tcPr>
                  <w:tcW w:w="2037" w:type="dxa"/>
                  <w:tcBorders>
                    <w:top w:val="single" w:sz="4" w:space="0" w:color="000000"/>
                    <w:left w:val="single" w:sz="4" w:space="0" w:color="000000"/>
                    <w:bottom w:val="single" w:sz="4" w:space="0" w:color="000000"/>
                  </w:tcBorders>
                  <w:shd w:color="auto" w:fill="auto" w:val="clear"/>
                </w:tcPr>
                <w:p>
                  <w:pPr>
                    <w:pStyle w:val="Normal"/>
                    <w:widowControl w:val="false"/>
                    <w:ind w:left="170" w:hanging="0"/>
                    <w:textAlignment w:val="baseline"/>
                    <w:rPr>
                      <w:color w:val="000000"/>
                    </w:rPr>
                  </w:pPr>
                  <w:r>
                    <w:rPr>
                      <w:b/>
                      <w:bCs/>
                      <w:color w:val="000000"/>
                    </w:rPr>
                    <w:t>Альтернатива 1</w:t>
                  </w:r>
                </w:p>
                <w:p>
                  <w:pPr>
                    <w:pStyle w:val="Normal"/>
                    <w:widowControl w:val="false"/>
                    <w:ind w:left="113" w:hanging="0"/>
                    <w:textAlignment w:val="baseline"/>
                    <w:rPr>
                      <w:color w:val="000000"/>
                    </w:rPr>
                  </w:pPr>
                  <w:r>
                    <w:rPr>
                      <w:color w:val="000000"/>
                    </w:rPr>
                    <w:t>Збереження</w:t>
                  </w:r>
                </w:p>
                <w:p>
                  <w:pPr>
                    <w:pStyle w:val="Normal"/>
                    <w:widowControl w:val="false"/>
                    <w:ind w:left="113" w:hanging="0"/>
                    <w:textAlignment w:val="baseline"/>
                    <w:rPr>
                      <w:color w:val="000000"/>
                    </w:rPr>
                  </w:pPr>
                  <w:r>
                    <w:rPr>
                      <w:color w:val="000000"/>
                    </w:rPr>
                    <w:t>існуючого стану</w:t>
                  </w:r>
                </w:p>
              </w:tc>
              <w:tc>
                <w:tcPr>
                  <w:tcW w:w="2477"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57" w:hanging="0"/>
                    <w:jc w:val="center"/>
                    <w:textAlignment w:val="baseline"/>
                    <w:rPr>
                      <w:color w:val="000000"/>
                    </w:rPr>
                  </w:pPr>
                  <w:r>
                    <w:rPr>
                      <w:color w:val="000000"/>
                    </w:rPr>
                    <w:t>Процедури, пов’язані з визначенням відновної вартості зелених насаджень на території м.Луцька залишаються без змін</w:t>
                  </w:r>
                </w:p>
              </w:tc>
              <w:tc>
                <w:tcPr>
                  <w:tcW w:w="3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ind w:right="57" w:hanging="0"/>
                    <w:jc w:val="center"/>
                    <w:textAlignment w:val="baseline"/>
                    <w:rPr>
                      <w:color w:val="000000"/>
                    </w:rPr>
                  </w:pPr>
                  <w:r>
                    <w:rPr>
                      <w:color w:val="000000"/>
                    </w:rPr>
                    <w:t>Додаткові витрати відсутні</w:t>
                  </w:r>
                </w:p>
              </w:tc>
            </w:tr>
            <w:tr>
              <w:trPr/>
              <w:tc>
                <w:tcPr>
                  <w:tcW w:w="203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b/>
                      <w:bCs/>
                      <w:color w:val="000000"/>
                    </w:rPr>
                    <w:t>Альтернатива 2</w:t>
                  </w:r>
                </w:p>
                <w:p>
                  <w:pPr>
                    <w:pStyle w:val="Normal"/>
                    <w:widowControl w:val="false"/>
                    <w:ind w:left="113" w:hanging="0"/>
                    <w:textAlignment w:val="baseline"/>
                    <w:rPr>
                      <w:color w:val="000000"/>
                    </w:rPr>
                  </w:pPr>
                  <w:r>
                    <w:rPr>
                      <w:color w:val="000000"/>
                    </w:rPr>
                    <w:t>Прийняти  запропонований проєкт регуляторного акта</w:t>
                  </w:r>
                </w:p>
              </w:tc>
              <w:tc>
                <w:tcPr>
                  <w:tcW w:w="247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textAlignment w:val="baseline"/>
                    <w:rPr>
                      <w:color w:val="000000"/>
                    </w:rPr>
                  </w:pPr>
                  <w:r>
                    <w:rPr>
                      <w:color w:val="000000"/>
                    </w:rPr>
                    <w:t>Наявність можливості приватизації земельних ділянок, на яких знаходяться зелені насадження,   чіткий механізм визначення відновної вартості   при знесенні насаджень</w:t>
                  </w:r>
                </w:p>
              </w:tc>
              <w:tc>
                <w:tcPr>
                  <w:tcW w:w="3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ind w:right="57" w:hanging="0"/>
                    <w:jc w:val="center"/>
                    <w:textAlignment w:val="baseline"/>
                    <w:rPr>
                      <w:color w:val="000000"/>
                    </w:rPr>
                  </w:pPr>
                  <w:r>
                    <w:rPr>
                      <w:color w:val="000000"/>
                    </w:rPr>
                    <w:t>Витрати на сплату відновної вартості зелених насаджень більші</w:t>
                  </w:r>
                </w:p>
              </w:tc>
            </w:tr>
            <w:tr>
              <w:trPr>
                <w:trHeight w:val="2489" w:hRule="atLeast"/>
              </w:trPr>
              <w:tc>
                <w:tcPr>
                  <w:tcW w:w="2037" w:type="dxa"/>
                  <w:tcBorders>
                    <w:top w:val="single" w:sz="4" w:space="0" w:color="000000"/>
                    <w:left w:val="single" w:sz="4" w:space="0" w:color="000000"/>
                    <w:bottom w:val="single" w:sz="4" w:space="0" w:color="000000"/>
                  </w:tcBorders>
                  <w:shd w:color="auto" w:fill="auto" w:val="clear"/>
                </w:tcPr>
                <w:p>
                  <w:pPr>
                    <w:pStyle w:val="Normal"/>
                    <w:widowControl w:val="false"/>
                    <w:ind w:firstLine="170"/>
                    <w:textAlignment w:val="baseline"/>
                    <w:rPr>
                      <w:color w:val="000000"/>
                    </w:rPr>
                  </w:pPr>
                  <w:r>
                    <w:rPr>
                      <w:b/>
                      <w:bCs/>
                      <w:color w:val="000000"/>
                    </w:rPr>
                    <w:t>Альтернатива 3</w:t>
                  </w:r>
                </w:p>
                <w:p>
                  <w:pPr>
                    <w:pStyle w:val="Normal"/>
                    <w:widowControl w:val="false"/>
                    <w:ind w:left="170" w:hanging="0"/>
                    <w:textAlignment w:val="baseline"/>
                    <w:rPr>
                      <w:color w:val="000000"/>
                    </w:rPr>
                  </w:pPr>
                  <w:r>
                    <w:rPr>
                      <w:color w:val="000000"/>
                    </w:rPr>
                    <w:t>Очікування прийняття нормативно-правових актів на загальнодержавному рівні</w:t>
                  </w:r>
                </w:p>
              </w:tc>
              <w:tc>
                <w:tcPr>
                  <w:tcW w:w="2477"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57" w:hanging="0"/>
                    <w:jc w:val="center"/>
                    <w:textAlignment w:val="baseline"/>
                    <w:rPr>
                      <w:color w:val="000000"/>
                    </w:rPr>
                  </w:pPr>
                  <w:r>
                    <w:rPr>
                      <w:color w:val="000000"/>
                    </w:rPr>
                    <w:t>Процедури, пов’язані з визначенням відновної вартості зелених насаджень на території м.Луцька залишаються без змін</w:t>
                  </w:r>
                </w:p>
              </w:tc>
              <w:tc>
                <w:tcPr>
                  <w:tcW w:w="3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150" w:after="150"/>
                    <w:ind w:right="57" w:hanging="0"/>
                    <w:jc w:val="center"/>
                    <w:textAlignment w:val="baseline"/>
                    <w:rPr>
                      <w:color w:val="000000"/>
                    </w:rPr>
                  </w:pPr>
                  <w:r>
                    <w:rPr>
                      <w:color w:val="000000"/>
                    </w:rPr>
                    <w:t>Додаткові витрати відсутні</w:t>
                  </w:r>
                </w:p>
              </w:tc>
            </w:tr>
          </w:tbl>
          <w:p>
            <w:pPr>
              <w:pStyle w:val="Normal"/>
              <w:widowControl w:val="false"/>
              <w:rPr>
                <w:color w:val="000000"/>
              </w:rPr>
            </w:pPr>
            <w:r>
              <w:rPr>
                <w:color w:val="000000"/>
              </w:rPr>
            </w:r>
          </w:p>
        </w:tc>
      </w:tr>
      <w:tr>
        <w:trPr>
          <w:trHeight w:val="4600"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3д</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color w:val="000000"/>
              </w:rPr>
              <w:t>Під час проведення оцінки впливу на сферу інтересів суб’єктів господарювання великого і середнього підприємництва окремо кількісно визначити витрати, які будуть виникати внаслідок дії регуляторного акта</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705" w:type="dxa"/>
              <w:jc w:val="left"/>
              <w:tblInd w:w="0" w:type="dxa"/>
              <w:tblLayout w:type="fixed"/>
              <w:tblCellMar>
                <w:top w:w="0" w:type="dxa"/>
                <w:left w:w="5" w:type="dxa"/>
                <w:bottom w:w="0" w:type="dxa"/>
                <w:right w:w="0" w:type="dxa"/>
              </w:tblCellMar>
              <w:tblLook w:val="0000"/>
            </w:tblPr>
            <w:tblGrid>
              <w:gridCol w:w="4542"/>
              <w:gridCol w:w="3162"/>
            </w:tblGrid>
            <w:tr>
              <w:trPr/>
              <w:tc>
                <w:tcPr>
                  <w:tcW w:w="454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Сумарні витрати за альтернативами</w:t>
                  </w:r>
                </w:p>
              </w:tc>
              <w:tc>
                <w:tcPr>
                  <w:tcW w:w="3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Сума витрат, грн.</w:t>
                  </w:r>
                </w:p>
              </w:tc>
            </w:tr>
            <w:tr>
              <w:trPr>
                <w:trHeight w:val="1228" w:hRule="atLeast"/>
              </w:trPr>
              <w:tc>
                <w:tcPr>
                  <w:tcW w:w="454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78" w:right="124" w:hanging="0"/>
                    <w:textAlignment w:val="baseline"/>
                    <w:rPr>
                      <w:color w:val="000000"/>
                    </w:rPr>
                  </w:pPr>
                  <w:r>
                    <w:rPr>
                      <w:color w:val="000000"/>
                    </w:rPr>
                    <w:t>Альтернатива 1. Сумарні витрати для суб’єктів господарювання великого і середнього підприємництва</w:t>
                  </w:r>
                </w:p>
              </w:tc>
              <w:tc>
                <w:tcPr>
                  <w:tcW w:w="3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textAlignment w:val="baseline"/>
                    <w:rPr>
                      <w:color w:val="000000"/>
                    </w:rPr>
                  </w:pPr>
                  <w:r>
                    <w:rPr>
                      <w:color w:val="000000"/>
                    </w:rPr>
                    <w:t>Сума  залежить від кількості зелених насаджень, які підлягають видаленню чи передаються у власність</w:t>
                  </w:r>
                </w:p>
              </w:tc>
            </w:tr>
            <w:tr>
              <w:trPr>
                <w:trHeight w:val="1396" w:hRule="atLeast"/>
              </w:trPr>
              <w:tc>
                <w:tcPr>
                  <w:tcW w:w="454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78" w:right="124" w:hanging="0"/>
                    <w:textAlignment w:val="baseline"/>
                    <w:rPr>
                      <w:color w:val="000000"/>
                    </w:rPr>
                  </w:pPr>
                  <w:r>
                    <w:rPr>
                      <w:color w:val="000000"/>
                    </w:rPr>
                    <w:t>Альтернатива 2. Сумарні витрати для суб’єктів господарювання великого і середнього підприємництва</w:t>
                  </w:r>
                </w:p>
              </w:tc>
              <w:tc>
                <w:tcPr>
                  <w:tcW w:w="3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right="124" w:hanging="0"/>
                    <w:textAlignment w:val="baseline"/>
                    <w:rPr>
                      <w:color w:val="000000"/>
                    </w:rPr>
                  </w:pPr>
                  <w:r>
                    <w:rPr>
                      <w:color w:val="000000"/>
                    </w:rPr>
                    <w:t>Збільшення розміру плати за відновну вартість зелених насаджень ( орієнтовно в 3 рази)</w:t>
                  </w:r>
                </w:p>
              </w:tc>
            </w:tr>
            <w:tr>
              <w:trPr>
                <w:trHeight w:val="1181" w:hRule="atLeast"/>
              </w:trPr>
              <w:tc>
                <w:tcPr>
                  <w:tcW w:w="4542"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78" w:right="124" w:hanging="0"/>
                    <w:textAlignment w:val="baseline"/>
                    <w:rPr>
                      <w:color w:val="000000"/>
                    </w:rPr>
                  </w:pPr>
                  <w:r>
                    <w:rPr>
                      <w:color w:val="000000"/>
                    </w:rPr>
                    <w:t>Альтернатива 3. Сумарні витрати для суб’єктів господарювання великого і середнього підприємництва</w:t>
                  </w:r>
                </w:p>
              </w:tc>
              <w:tc>
                <w:tcPr>
                  <w:tcW w:w="3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36" w:after="36"/>
                    <w:textAlignment w:val="baseline"/>
                    <w:rPr>
                      <w:color w:val="000000"/>
                    </w:rPr>
                  </w:pPr>
                  <w:r>
                    <w:rPr>
                      <w:color w:val="000000"/>
                    </w:rPr>
                    <w:t>Сума  залежить від кількості зелених насаджень, які підлягають видаленню чи передаються у власність</w:t>
                  </w:r>
                </w:p>
              </w:tc>
            </w:tr>
          </w:tbl>
          <w:p>
            <w:pPr>
              <w:pStyle w:val="Normal"/>
              <w:widowControl w:val="false"/>
              <w:rPr>
                <w:bCs/>
                <w:color w:val="000000"/>
              </w:rPr>
            </w:pPr>
            <w:r>
              <w:rPr>
                <w:bCs/>
                <w:color w:val="000000"/>
              </w:rPr>
            </w:r>
          </w:p>
        </w:tc>
      </w:tr>
      <w:tr>
        <w:trPr>
          <w:trHeight w:val="8637"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center"/>
              <w:textAlignment w:val="baseline"/>
              <w:rPr>
                <w:color w:val="000000"/>
              </w:rPr>
            </w:pPr>
            <w:r>
              <w:rPr>
                <w:bCs/>
                <w:color w:val="000000"/>
              </w:rPr>
              <w:t>4.</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bCs/>
                <w:color w:val="000000"/>
              </w:rPr>
              <w:t>Вибір найбільш оптимального альтернативного способу досягнення цілей</w:t>
            </w:r>
          </w:p>
          <w:p>
            <w:pPr>
              <w:pStyle w:val="Normal"/>
              <w:widowControl w:val="false"/>
              <w:textAlignment w:val="baseline"/>
              <w:rPr>
                <w:bCs/>
                <w:color w:val="000000"/>
              </w:rPr>
            </w:pPr>
            <w:r>
              <w:rPr>
                <w:bCs/>
                <w:color w:val="000000"/>
              </w:rPr>
            </w:r>
          </w:p>
          <w:p>
            <w:pPr>
              <w:pStyle w:val="Normal"/>
              <w:widowControl w:val="false"/>
              <w:textAlignment w:val="baseline"/>
              <w:rPr>
                <w:bCs/>
                <w:color w:val="000000"/>
              </w:rPr>
            </w:pPr>
            <w:r>
              <w:rPr>
                <w:bCs/>
                <w:color w:val="000000"/>
              </w:rPr>
            </w:r>
          </w:p>
          <w:p>
            <w:pPr>
              <w:pStyle w:val="Normal"/>
              <w:widowControl w:val="false"/>
              <w:textAlignment w:val="baseline"/>
              <w:rPr>
                <w:bCs/>
                <w:color w:val="000000"/>
              </w:rPr>
            </w:pPr>
            <w:r>
              <w:rPr>
                <w:bCs/>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tbl>
            <w:tblPr>
              <w:tblW w:w="7705" w:type="dxa"/>
              <w:jc w:val="left"/>
              <w:tblInd w:w="0" w:type="dxa"/>
              <w:tblLayout w:type="fixed"/>
              <w:tblCellMar>
                <w:top w:w="0" w:type="dxa"/>
                <w:left w:w="5" w:type="dxa"/>
                <w:bottom w:w="0" w:type="dxa"/>
                <w:right w:w="0" w:type="dxa"/>
              </w:tblCellMar>
              <w:tblLook w:val="0000"/>
            </w:tblPr>
            <w:tblGrid>
              <w:gridCol w:w="1869"/>
              <w:gridCol w:w="824"/>
              <w:gridCol w:w="765"/>
              <w:gridCol w:w="1688"/>
              <w:gridCol w:w="2384"/>
              <w:gridCol w:w="54"/>
              <w:gridCol w:w="54"/>
              <w:gridCol w:w="43"/>
              <w:gridCol w:w="23"/>
            </w:tblGrid>
            <w:tr>
              <w:trPr>
                <w:trHeight w:val="1309" w:hRule="atLeast"/>
              </w:trPr>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Рейтинг результативності (досягнення цілей під час вирішення проблеми)</w:t>
                  </w:r>
                </w:p>
              </w:tc>
              <w:tc>
                <w:tcPr>
                  <w:tcW w:w="245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Бал результативності (за чотирибальною системою оцінки)</w:t>
                  </w:r>
                </w:p>
              </w:tc>
              <w:tc>
                <w:tcPr>
                  <w:tcW w:w="2384"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right="105" w:hanging="0"/>
                    <w:jc w:val="center"/>
                    <w:textAlignment w:val="baseline"/>
                    <w:rPr>
                      <w:color w:val="000000"/>
                    </w:rPr>
                  </w:pPr>
                  <w:r>
                    <w:rPr>
                      <w:color w:val="000000"/>
                    </w:rPr>
                    <w:t>Коментарі щодо присвоєння відповідного бала</w:t>
                  </w:r>
                </w:p>
              </w:tc>
              <w:tc>
                <w:tcPr>
                  <w:tcW w:w="54" w:type="dxa"/>
                  <w:tcBorders>
                    <w:left w:val="single" w:sz="4" w:space="0" w:color="000000"/>
                  </w:tcBorders>
                  <w:shd w:color="auto" w:fill="auto" w:val="clear"/>
                </w:tcPr>
                <w:p>
                  <w:pPr>
                    <w:pStyle w:val="Normal"/>
                    <w:widowControl w:val="false"/>
                    <w:snapToGrid w:val="false"/>
                    <w:rPr>
                      <w:color w:val="000000"/>
                    </w:rPr>
                  </w:pPr>
                  <w:r>
                    <w:rPr>
                      <w:color w:val="000000"/>
                    </w:rPr>
                  </w:r>
                </w:p>
              </w:tc>
              <w:tc>
                <w:tcPr>
                  <w:tcW w:w="54" w:type="dxa"/>
                  <w:tcBorders/>
                  <w:shd w:color="auto" w:fill="auto" w:val="clear"/>
                </w:tcPr>
                <w:p>
                  <w:pPr>
                    <w:pStyle w:val="Normal"/>
                    <w:widowControl w:val="false"/>
                    <w:snapToGrid w:val="false"/>
                    <w:rPr>
                      <w:color w:val="000000"/>
                    </w:rPr>
                  </w:pPr>
                  <w:r>
                    <w:rPr>
                      <w:color w:val="000000"/>
                    </w:rPr>
                  </w:r>
                </w:p>
              </w:tc>
              <w:tc>
                <w:tcPr>
                  <w:tcW w:w="43" w:type="dxa"/>
                  <w:tcBorders/>
                  <w:shd w:color="auto" w:fill="auto" w:val="clear"/>
                </w:tcPr>
                <w:p>
                  <w:pPr>
                    <w:pStyle w:val="Normal"/>
                    <w:widowControl w:val="false"/>
                    <w:snapToGrid w:val="false"/>
                    <w:rPr>
                      <w:b/>
                      <w:b/>
                      <w:bCs/>
                      <w:color w:val="000000"/>
                    </w:rPr>
                  </w:pPr>
                  <w:r>
                    <w:rPr>
                      <w:b/>
                      <w:bCs/>
                      <w:color w:val="000000"/>
                    </w:rPr>
                  </w:r>
                </w:p>
              </w:tc>
              <w:tc>
                <w:tcPr>
                  <w:tcW w:w="23" w:type="dxa"/>
                  <w:tcBorders/>
                  <w:shd w:color="auto" w:fill="auto" w:val="clear"/>
                </w:tcPr>
                <w:p>
                  <w:pPr>
                    <w:pStyle w:val="Normal"/>
                    <w:widowControl w:val="false"/>
                    <w:snapToGrid w:val="false"/>
                    <w:rPr>
                      <w:b/>
                      <w:b/>
                      <w:bCs/>
                      <w:color w:val="000000"/>
                    </w:rPr>
                  </w:pPr>
                  <w:r>
                    <w:rPr>
                      <w:b/>
                      <w:bCs/>
                      <w:color w:val="000000"/>
                    </w:rPr>
                  </w:r>
                </w:p>
              </w:tc>
            </w:tr>
            <w:tr>
              <w:trPr>
                <w:trHeight w:val="2009" w:hRule="atLeast"/>
              </w:trPr>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b/>
                      <w:bCs/>
                      <w:color w:val="000000"/>
                    </w:rPr>
                    <w:t>Альтернатива 2</w:t>
                  </w:r>
                </w:p>
                <w:p>
                  <w:pPr>
                    <w:pStyle w:val="Normal"/>
                    <w:widowControl w:val="false"/>
                    <w:spacing w:before="150" w:after="150"/>
                    <w:ind w:left="170" w:hanging="0"/>
                    <w:textAlignment w:val="baseline"/>
                    <w:rPr>
                      <w:color w:val="000000"/>
                    </w:rPr>
                  </w:pPr>
                  <w:r>
                    <w:rPr>
                      <w:color w:val="000000"/>
                    </w:rPr>
                    <w:t>Прийняти запропонований проєкт регуляторного акта</w:t>
                  </w:r>
                </w:p>
              </w:tc>
              <w:tc>
                <w:tcPr>
                  <w:tcW w:w="245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4</w:t>
                  </w:r>
                </w:p>
              </w:tc>
              <w:tc>
                <w:tcPr>
                  <w:tcW w:w="2384" w:type="dxa"/>
                  <w:tcBorders>
                    <w:top w:val="single" w:sz="4" w:space="0" w:color="000000"/>
                    <w:left w:val="single" w:sz="4" w:space="0" w:color="000000"/>
                    <w:bottom w:val="single" w:sz="4" w:space="0" w:color="000000"/>
                  </w:tcBorders>
                  <w:shd w:color="auto" w:fill="auto" w:val="clear"/>
                </w:tcPr>
                <w:p>
                  <w:pPr>
                    <w:pStyle w:val="Normal"/>
                    <w:widowControl w:val="false"/>
                    <w:ind w:left="113" w:right="57" w:hanging="0"/>
                    <w:textAlignment w:val="baseline"/>
                    <w:rPr>
                      <w:color w:val="000000"/>
                    </w:rPr>
                  </w:pPr>
                  <w:r>
                    <w:rPr>
                      <w:color w:val="000000"/>
                    </w:rPr>
                    <w:t>Цілі регулювання будуть досягнуті.</w:t>
                  </w:r>
                </w:p>
              </w:tc>
              <w:tc>
                <w:tcPr>
                  <w:tcW w:w="54" w:type="dxa"/>
                  <w:tcBorders>
                    <w:left w:val="single" w:sz="4" w:space="0" w:color="000000"/>
                  </w:tcBorders>
                  <w:shd w:color="auto" w:fill="auto" w:val="clear"/>
                </w:tcPr>
                <w:p>
                  <w:pPr>
                    <w:pStyle w:val="Normal"/>
                    <w:widowControl w:val="false"/>
                    <w:snapToGrid w:val="false"/>
                    <w:rPr>
                      <w:color w:val="000000"/>
                    </w:rPr>
                  </w:pPr>
                  <w:r>
                    <w:rPr>
                      <w:color w:val="000000"/>
                    </w:rPr>
                  </w:r>
                </w:p>
              </w:tc>
              <w:tc>
                <w:tcPr>
                  <w:tcW w:w="54" w:type="dxa"/>
                  <w:tcBorders/>
                  <w:shd w:color="auto" w:fill="auto" w:val="clear"/>
                </w:tcPr>
                <w:p>
                  <w:pPr>
                    <w:pStyle w:val="Normal"/>
                    <w:widowControl w:val="false"/>
                    <w:snapToGrid w:val="false"/>
                    <w:rPr>
                      <w:color w:val="000000"/>
                    </w:rPr>
                  </w:pPr>
                  <w:r>
                    <w:rPr>
                      <w:color w:val="000000"/>
                    </w:rPr>
                  </w:r>
                </w:p>
              </w:tc>
              <w:tc>
                <w:tcPr>
                  <w:tcW w:w="43" w:type="dxa"/>
                  <w:tcBorders/>
                  <w:shd w:color="auto" w:fill="auto" w:val="clear"/>
                </w:tcPr>
                <w:p>
                  <w:pPr>
                    <w:pStyle w:val="Normal"/>
                    <w:widowControl w:val="false"/>
                    <w:snapToGrid w:val="false"/>
                    <w:rPr>
                      <w:b/>
                      <w:b/>
                      <w:bCs/>
                      <w:color w:val="000000"/>
                    </w:rPr>
                  </w:pPr>
                  <w:r>
                    <w:rPr>
                      <w:b/>
                      <w:bCs/>
                      <w:color w:val="000000"/>
                    </w:rPr>
                  </w:r>
                </w:p>
              </w:tc>
              <w:tc>
                <w:tcPr>
                  <w:tcW w:w="23" w:type="dxa"/>
                  <w:tcBorders/>
                  <w:shd w:color="auto" w:fill="auto" w:val="clear"/>
                </w:tcPr>
                <w:p>
                  <w:pPr>
                    <w:pStyle w:val="Normal"/>
                    <w:widowControl w:val="false"/>
                    <w:snapToGrid w:val="false"/>
                    <w:rPr>
                      <w:b/>
                      <w:b/>
                      <w:bCs/>
                      <w:color w:val="000000"/>
                    </w:rPr>
                  </w:pPr>
                  <w:r>
                    <w:rPr>
                      <w:b/>
                      <w:bCs/>
                      <w:color w:val="000000"/>
                    </w:rPr>
                  </w:r>
                </w:p>
              </w:tc>
            </w:tr>
            <w:tr>
              <w:trPr>
                <w:trHeight w:val="2009" w:hRule="atLeast"/>
              </w:trPr>
              <w:tc>
                <w:tcPr>
                  <w:tcW w:w="2693" w:type="dxa"/>
                  <w:gridSpan w:val="2"/>
                  <w:tcBorders>
                    <w:left w:val="single" w:sz="4" w:space="0" w:color="000000"/>
                    <w:bottom w:val="single" w:sz="4" w:space="0" w:color="000000"/>
                  </w:tcBorders>
                  <w:shd w:color="auto" w:fill="auto" w:val="clear"/>
                </w:tcPr>
                <w:p>
                  <w:pPr>
                    <w:pStyle w:val="Normal"/>
                    <w:widowControl w:val="false"/>
                    <w:spacing w:before="150" w:after="150"/>
                    <w:ind w:left="170" w:hanging="0"/>
                    <w:textAlignment w:val="baseline"/>
                    <w:rPr>
                      <w:color w:val="000000"/>
                    </w:rPr>
                  </w:pPr>
                  <w:r>
                    <w:rPr>
                      <w:b/>
                      <w:bCs/>
                      <w:color w:val="000000"/>
                    </w:rPr>
                    <w:t>Альтернатива 2</w:t>
                  </w:r>
                </w:p>
                <w:p>
                  <w:pPr>
                    <w:pStyle w:val="Normal"/>
                    <w:widowControl w:val="false"/>
                    <w:spacing w:before="150" w:after="150"/>
                    <w:ind w:left="170" w:hanging="0"/>
                    <w:textAlignment w:val="baseline"/>
                    <w:rPr>
                      <w:color w:val="000000"/>
                    </w:rPr>
                  </w:pPr>
                  <w:r>
                    <w:rPr>
                      <w:color w:val="000000"/>
                    </w:rPr>
                    <w:t>Збереження існуючого стану</w:t>
                  </w:r>
                </w:p>
                <w:p>
                  <w:pPr>
                    <w:pStyle w:val="Normal"/>
                    <w:widowControl w:val="false"/>
                    <w:spacing w:before="150" w:after="150"/>
                    <w:textAlignment w:val="baseline"/>
                    <w:rPr>
                      <w:color w:val="000000"/>
                    </w:rPr>
                  </w:pPr>
                  <w:r>
                    <w:rPr>
                      <w:color w:val="000000"/>
                    </w:rPr>
                  </w:r>
                </w:p>
              </w:tc>
              <w:tc>
                <w:tcPr>
                  <w:tcW w:w="2453" w:type="dxa"/>
                  <w:gridSpan w:val="2"/>
                  <w:tcBorders>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1</w:t>
                  </w:r>
                </w:p>
              </w:tc>
              <w:tc>
                <w:tcPr>
                  <w:tcW w:w="2384" w:type="dxa"/>
                  <w:tcBorders>
                    <w:left w:val="single" w:sz="4" w:space="0" w:color="000000"/>
                    <w:bottom w:val="single" w:sz="4" w:space="0" w:color="000000"/>
                  </w:tcBorders>
                  <w:shd w:color="auto" w:fill="auto" w:val="clear"/>
                </w:tcPr>
                <w:p>
                  <w:pPr>
                    <w:pStyle w:val="Normal"/>
                    <w:widowControl w:val="false"/>
                    <w:ind w:left="113" w:right="113" w:hanging="0"/>
                    <w:textAlignment w:val="baseline"/>
                    <w:rPr>
                      <w:color w:val="000000"/>
                    </w:rPr>
                  </w:pPr>
                  <w:r>
                    <w:rPr>
                      <w:color w:val="000000"/>
                    </w:rPr>
                    <w:t>У разі залишення існуючої на даний момент ситуації без змін проблема продовжуватиме існувати, що не забезпечить досягнення поставлених цілей.</w:t>
                  </w:r>
                </w:p>
              </w:tc>
              <w:tc>
                <w:tcPr>
                  <w:tcW w:w="54" w:type="dxa"/>
                  <w:tcBorders>
                    <w:left w:val="single" w:sz="4" w:space="0" w:color="000000"/>
                  </w:tcBorders>
                  <w:shd w:color="auto" w:fill="auto" w:val="clear"/>
                </w:tcPr>
                <w:p>
                  <w:pPr>
                    <w:pStyle w:val="Normal"/>
                    <w:widowControl w:val="false"/>
                    <w:snapToGrid w:val="false"/>
                    <w:rPr>
                      <w:color w:val="000000"/>
                    </w:rPr>
                  </w:pPr>
                  <w:r>
                    <w:rPr>
                      <w:color w:val="000000"/>
                    </w:rPr>
                  </w:r>
                </w:p>
              </w:tc>
              <w:tc>
                <w:tcPr>
                  <w:tcW w:w="54" w:type="dxa"/>
                  <w:tcBorders/>
                  <w:shd w:color="auto" w:fill="auto" w:val="clear"/>
                </w:tcPr>
                <w:p>
                  <w:pPr>
                    <w:pStyle w:val="Normal"/>
                    <w:widowControl w:val="false"/>
                    <w:snapToGrid w:val="false"/>
                    <w:rPr>
                      <w:color w:val="000000"/>
                    </w:rPr>
                  </w:pPr>
                  <w:r>
                    <w:rPr>
                      <w:color w:val="000000"/>
                    </w:rPr>
                  </w:r>
                </w:p>
              </w:tc>
              <w:tc>
                <w:tcPr>
                  <w:tcW w:w="43" w:type="dxa"/>
                  <w:tcBorders/>
                  <w:shd w:color="auto" w:fill="auto" w:val="clear"/>
                </w:tcPr>
                <w:p>
                  <w:pPr>
                    <w:pStyle w:val="Normal"/>
                    <w:widowControl w:val="false"/>
                    <w:snapToGrid w:val="false"/>
                    <w:rPr>
                      <w:b/>
                      <w:b/>
                      <w:bCs/>
                      <w:color w:val="000000"/>
                    </w:rPr>
                  </w:pPr>
                  <w:r>
                    <w:rPr>
                      <w:b/>
                      <w:bCs/>
                      <w:color w:val="000000"/>
                    </w:rPr>
                  </w:r>
                </w:p>
              </w:tc>
              <w:tc>
                <w:tcPr>
                  <w:tcW w:w="23" w:type="dxa"/>
                  <w:tcBorders/>
                  <w:shd w:color="auto" w:fill="auto" w:val="clear"/>
                </w:tcPr>
                <w:p>
                  <w:pPr>
                    <w:pStyle w:val="Normal"/>
                    <w:widowControl w:val="false"/>
                    <w:snapToGrid w:val="false"/>
                    <w:rPr>
                      <w:b/>
                      <w:b/>
                      <w:bCs/>
                      <w:color w:val="000000"/>
                    </w:rPr>
                  </w:pPr>
                  <w:r>
                    <w:rPr>
                      <w:b/>
                      <w:bCs/>
                      <w:color w:val="000000"/>
                    </w:rPr>
                  </w:r>
                </w:p>
              </w:tc>
            </w:tr>
            <w:tr>
              <w:trPr/>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b/>
                      <w:bCs/>
                      <w:color w:val="000000"/>
                    </w:rPr>
                    <w:t>Альтернатива 3</w:t>
                  </w:r>
                </w:p>
                <w:p>
                  <w:pPr>
                    <w:pStyle w:val="Normal"/>
                    <w:widowControl w:val="false"/>
                    <w:spacing w:before="150" w:after="150"/>
                    <w:ind w:left="170" w:hanging="0"/>
                    <w:textAlignment w:val="baseline"/>
                    <w:rPr>
                      <w:color w:val="000000"/>
                    </w:rPr>
                  </w:pPr>
                  <w:r>
                    <w:rPr>
                      <w:color w:val="000000"/>
                    </w:rPr>
                    <w:t>Очікування прийняття нормативно-правових актів на загальнодержавному рівні</w:t>
                  </w:r>
                </w:p>
              </w:tc>
              <w:tc>
                <w:tcPr>
                  <w:tcW w:w="245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1</w:t>
                  </w:r>
                </w:p>
              </w:tc>
              <w:tc>
                <w:tcPr>
                  <w:tcW w:w="2384" w:type="dxa"/>
                  <w:tcBorders>
                    <w:top w:val="single" w:sz="4" w:space="0" w:color="000000"/>
                    <w:left w:val="single" w:sz="4" w:space="0" w:color="000000"/>
                    <w:bottom w:val="single" w:sz="4" w:space="0" w:color="000000"/>
                  </w:tcBorders>
                  <w:shd w:color="auto" w:fill="auto" w:val="clear"/>
                </w:tcPr>
                <w:p>
                  <w:pPr>
                    <w:pStyle w:val="Normal"/>
                    <w:widowControl w:val="false"/>
                    <w:spacing w:before="36" w:after="36"/>
                    <w:ind w:left="113" w:hanging="0"/>
                    <w:textAlignment w:val="baseline"/>
                    <w:rPr>
                      <w:color w:val="000000"/>
                    </w:rPr>
                  </w:pPr>
                  <w:r>
                    <w:rPr>
                      <w:color w:val="000000"/>
                    </w:rPr>
                    <w:t>Необґрунтований і невідомий час очікування можливого нормативного документа, затвердженого на рівні  Кабінету Міністрів України чи галузевого міністерства</w:t>
                  </w:r>
                </w:p>
              </w:tc>
              <w:tc>
                <w:tcPr>
                  <w:tcW w:w="54" w:type="dxa"/>
                  <w:tcBorders>
                    <w:left w:val="single" w:sz="4" w:space="0" w:color="000000"/>
                  </w:tcBorders>
                  <w:shd w:color="auto" w:fill="auto" w:val="clear"/>
                </w:tcPr>
                <w:p>
                  <w:pPr>
                    <w:pStyle w:val="Normal"/>
                    <w:widowControl w:val="false"/>
                    <w:snapToGrid w:val="false"/>
                    <w:rPr>
                      <w:color w:val="000000"/>
                    </w:rPr>
                  </w:pPr>
                  <w:r>
                    <w:rPr>
                      <w:color w:val="000000"/>
                    </w:rPr>
                  </w:r>
                </w:p>
              </w:tc>
              <w:tc>
                <w:tcPr>
                  <w:tcW w:w="54" w:type="dxa"/>
                  <w:tcBorders/>
                  <w:shd w:color="auto" w:fill="auto" w:val="clear"/>
                </w:tcPr>
                <w:p>
                  <w:pPr>
                    <w:pStyle w:val="Normal"/>
                    <w:widowControl w:val="false"/>
                    <w:snapToGrid w:val="false"/>
                    <w:rPr>
                      <w:color w:val="000000"/>
                    </w:rPr>
                  </w:pPr>
                  <w:r>
                    <w:rPr>
                      <w:color w:val="000000"/>
                    </w:rPr>
                  </w:r>
                </w:p>
              </w:tc>
              <w:tc>
                <w:tcPr>
                  <w:tcW w:w="43" w:type="dxa"/>
                  <w:tcBorders/>
                  <w:shd w:color="auto" w:fill="auto" w:val="clear"/>
                </w:tcPr>
                <w:p>
                  <w:pPr>
                    <w:pStyle w:val="Normal"/>
                    <w:widowControl w:val="false"/>
                    <w:snapToGrid w:val="false"/>
                    <w:rPr>
                      <w:color w:val="000000"/>
                    </w:rPr>
                  </w:pPr>
                  <w:r>
                    <w:rPr>
                      <w:color w:val="000000"/>
                    </w:rPr>
                  </w:r>
                </w:p>
              </w:tc>
              <w:tc>
                <w:tcPr>
                  <w:tcW w:w="23" w:type="dxa"/>
                  <w:tcBorders/>
                  <w:shd w:color="auto" w:fill="auto" w:val="clear"/>
                </w:tcPr>
                <w:p>
                  <w:pPr>
                    <w:pStyle w:val="Normal"/>
                    <w:widowControl w:val="false"/>
                    <w:snapToGrid w:val="false"/>
                    <w:rPr>
                      <w:color w:val="000000"/>
                    </w:rPr>
                  </w:pPr>
                  <w:r>
                    <w:rPr>
                      <w:color w:val="000000"/>
                    </w:rPr>
                  </w:r>
                </w:p>
              </w:tc>
            </w:tr>
            <w:tr>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bookmarkStart w:id="3" w:name="n159"/>
                  <w:bookmarkEnd w:id="3"/>
                  <w:r>
                    <w:rPr>
                      <w:color w:val="000000"/>
                    </w:rPr>
                    <w:t>Рейтинг результативності</w:t>
                  </w:r>
                </w:p>
              </w:tc>
              <w:tc>
                <w:tcPr>
                  <w:tcW w:w="15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Вигоди (підсумок)</w:t>
                  </w:r>
                </w:p>
              </w:tc>
              <w:tc>
                <w:tcPr>
                  <w:tcW w:w="168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Витрати (підсумок)</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Обґрунтування відповідного місця альтернативи у рейтингу</w:t>
                  </w:r>
                </w:p>
              </w:tc>
            </w:tr>
            <w:tr>
              <w:trPr>
                <w:trHeight w:val="2839" w:hRule="atLeast"/>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b/>
                      <w:bCs/>
                      <w:color w:val="000000"/>
                    </w:rPr>
                    <w:t>Альтернатива 1</w:t>
                  </w:r>
                </w:p>
                <w:p>
                  <w:pPr>
                    <w:pStyle w:val="Normal"/>
                    <w:widowControl w:val="false"/>
                    <w:spacing w:before="150" w:after="150"/>
                    <w:ind w:left="170" w:hanging="0"/>
                    <w:textAlignment w:val="baseline"/>
                    <w:rPr>
                      <w:color w:val="000000"/>
                    </w:rPr>
                  </w:pPr>
                  <w:r>
                    <w:rPr>
                      <w:color w:val="000000"/>
                    </w:rPr>
                    <w:t>Збереження існуючого стану</w:t>
                  </w:r>
                </w:p>
                <w:p>
                  <w:pPr>
                    <w:pStyle w:val="Normal"/>
                    <w:widowControl w:val="false"/>
                    <w:spacing w:before="150" w:after="150"/>
                    <w:textAlignment w:val="baseline"/>
                    <w:rPr>
                      <w:color w:val="000000"/>
                    </w:rPr>
                  </w:pPr>
                  <w:r>
                    <w:rPr>
                      <w:color w:val="000000"/>
                    </w:rPr>
                  </w:r>
                </w:p>
              </w:tc>
              <w:tc>
                <w:tcPr>
                  <w:tcW w:w="15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Відсутня необхідність внесення змін у документи  з питань визначення відновної вартості зелених насаджень</w:t>
                  </w:r>
                </w:p>
              </w:tc>
              <w:tc>
                <w:tcPr>
                  <w:tcW w:w="168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jc w:val="both"/>
                    <w:textAlignment w:val="baseline"/>
                    <w:rPr>
                      <w:color w:val="000000"/>
                    </w:rPr>
                  </w:pPr>
                  <w:r>
                    <w:rPr>
                      <w:color w:val="000000"/>
                    </w:rPr>
                    <w:t>Недосягнення цілей регулювання, зазначених в п. 2.</w:t>
                  </w:r>
                </w:p>
                <w:p>
                  <w:pPr>
                    <w:pStyle w:val="Normal"/>
                    <w:widowControl w:val="false"/>
                    <w:spacing w:before="150" w:after="150"/>
                    <w:jc w:val="both"/>
                    <w:textAlignment w:val="baseline"/>
                    <w:rPr>
                      <w:color w:val="000000"/>
                    </w:rPr>
                  </w:pPr>
                  <w:r>
                    <w:rPr>
                      <w:color w:val="000000"/>
                    </w:rPr>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3-тє місце</w:t>
                  </w:r>
                </w:p>
              </w:tc>
            </w:tr>
            <w:tr>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93" w:after="93"/>
                    <w:ind w:left="113" w:hanging="0"/>
                    <w:textAlignment w:val="baseline"/>
                    <w:rPr>
                      <w:color w:val="000000"/>
                    </w:rPr>
                  </w:pPr>
                  <w:r>
                    <w:rPr>
                      <w:b/>
                      <w:bCs/>
                      <w:color w:val="000000"/>
                    </w:rPr>
                    <w:t>Альтернатива 2</w:t>
                  </w:r>
                </w:p>
                <w:p>
                  <w:pPr>
                    <w:pStyle w:val="Normal"/>
                    <w:widowControl w:val="false"/>
                    <w:spacing w:before="150" w:after="150"/>
                    <w:ind w:left="170" w:hanging="0"/>
                    <w:textAlignment w:val="baseline"/>
                    <w:rPr>
                      <w:color w:val="000000"/>
                    </w:rPr>
                  </w:pPr>
                  <w:r>
                    <w:rPr>
                      <w:color w:val="000000"/>
                    </w:rPr>
                    <w:t>Прийняти запропонований проєкт регуляторного акта</w:t>
                  </w:r>
                </w:p>
              </w:tc>
              <w:tc>
                <w:tcPr>
                  <w:tcW w:w="15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93" w:after="93"/>
                    <w:ind w:left="113" w:hanging="0"/>
                    <w:textAlignment w:val="baseline"/>
                    <w:rPr>
                      <w:color w:val="000000"/>
                    </w:rPr>
                  </w:pPr>
                  <w:r>
                    <w:rPr>
                      <w:color w:val="000000"/>
                    </w:rPr>
                    <w:t>1. Досягнення цілей регулювання, зазначених в  п. 2.</w:t>
                  </w:r>
                </w:p>
                <w:p>
                  <w:pPr>
                    <w:pStyle w:val="Normal"/>
                    <w:widowControl w:val="false"/>
                    <w:spacing w:before="150" w:after="150"/>
                    <w:ind w:left="113" w:hanging="0"/>
                    <w:textAlignment w:val="baseline"/>
                    <w:rPr>
                      <w:color w:val="000000"/>
                    </w:rPr>
                  </w:pPr>
                  <w:r>
                    <w:rPr>
                      <w:color w:val="000000"/>
                    </w:rPr>
                    <w:t>2. Чіткі вимоги до процедур, пов’язаних з визначенням  відновної вартості зелених насаджень  на території Луцької міської територіальної громади.</w:t>
                  </w:r>
                </w:p>
              </w:tc>
              <w:tc>
                <w:tcPr>
                  <w:tcW w:w="168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color w:val="000000"/>
                    </w:rPr>
                    <w:t>Фінансові витрати для  громадян, органів місцевого самоврядування та суб’єктів господарювання відповідають реальним витратам на створення та утримання зелених насаджень</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1-ше місце</w:t>
                  </w:r>
                </w:p>
              </w:tc>
            </w:tr>
            <w:tr>
              <w:trPr>
                <w:trHeight w:val="2159" w:hRule="atLeast"/>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b/>
                      <w:bCs/>
                      <w:color w:val="000000"/>
                    </w:rPr>
                    <w:t>Альтернатива 3</w:t>
                  </w:r>
                </w:p>
                <w:p>
                  <w:pPr>
                    <w:pStyle w:val="Normal"/>
                    <w:widowControl w:val="false"/>
                    <w:spacing w:before="150" w:after="150"/>
                    <w:ind w:left="113" w:hanging="0"/>
                    <w:textAlignment w:val="baseline"/>
                    <w:rPr>
                      <w:color w:val="000000"/>
                    </w:rPr>
                  </w:pPr>
                  <w:r>
                    <w:rPr>
                      <w:color w:val="000000"/>
                    </w:rPr>
                    <w:t>Очікування прийняття нормативно-правових актів на загальнодержавному рівні</w:t>
                  </w:r>
                </w:p>
              </w:tc>
              <w:tc>
                <w:tcPr>
                  <w:tcW w:w="15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color w:val="000000"/>
                    </w:rPr>
                    <w:t>Відсутня необхідність внесення змін у документи з питань визначення відновної вартості зелених насаджень</w:t>
                  </w:r>
                </w:p>
              </w:tc>
              <w:tc>
                <w:tcPr>
                  <w:tcW w:w="1688"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both"/>
                    <w:textAlignment w:val="baseline"/>
                    <w:rPr>
                      <w:color w:val="000000"/>
                    </w:rPr>
                  </w:pPr>
                  <w:r>
                    <w:rPr>
                      <w:color w:val="000000"/>
                    </w:rPr>
                    <w:t>Недосягнення  цілей регулювання, зазначених в п. 2.</w:t>
                  </w:r>
                </w:p>
                <w:p>
                  <w:pPr>
                    <w:pStyle w:val="Normal"/>
                    <w:widowControl w:val="false"/>
                    <w:spacing w:before="150" w:after="150"/>
                    <w:jc w:val="both"/>
                    <w:textAlignment w:val="baseline"/>
                    <w:rPr>
                      <w:color w:val="000000"/>
                    </w:rPr>
                  </w:pPr>
                  <w:r>
                    <w:rPr>
                      <w:color w:val="000000"/>
                    </w:rPr>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2-ге місце</w:t>
                  </w:r>
                </w:p>
              </w:tc>
            </w:tr>
            <w:tr>
              <w:trPr>
                <w:trHeight w:val="120" w:hRule="atLeast"/>
              </w:trPr>
              <w:tc>
                <w:tcPr>
                  <w:tcW w:w="770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textAlignment w:val="baseline"/>
                    <w:rPr>
                      <w:color w:val="000000"/>
                    </w:rPr>
                  </w:pPr>
                  <w:r>
                    <w:rPr>
                      <w:color w:val="000000"/>
                    </w:rPr>
                  </w:r>
                </w:p>
              </w:tc>
            </w:tr>
            <w:tr>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Рейтинг</w:t>
                  </w:r>
                </w:p>
              </w:tc>
              <w:tc>
                <w:tcPr>
                  <w:tcW w:w="3277"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13" w:hanging="0"/>
                    <w:textAlignment w:val="baseline"/>
                    <w:rPr>
                      <w:color w:val="000000"/>
                    </w:rPr>
                  </w:pPr>
                  <w:r>
                    <w:rPr>
                      <w:color w:val="000000"/>
                    </w:rPr>
                    <w:t>Аргументи щодо переваги обраної альтернативи/причини відмови від альтернативи</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Оцінка ризику зовнішніх чинників на дію запропонованого регуляторного акта</w:t>
                  </w:r>
                </w:p>
              </w:tc>
            </w:tr>
            <w:tr>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70" w:hanging="0"/>
                    <w:textAlignment w:val="baseline"/>
                    <w:rPr>
                      <w:color w:val="000000"/>
                    </w:rPr>
                  </w:pPr>
                  <w:r>
                    <w:rPr>
                      <w:color w:val="000000"/>
                    </w:rPr>
                    <w:t>Альтернатива 1</w:t>
                  </w:r>
                </w:p>
                <w:p>
                  <w:pPr>
                    <w:pStyle w:val="Normal"/>
                    <w:widowControl w:val="false"/>
                    <w:spacing w:before="150" w:after="150"/>
                    <w:ind w:left="170" w:hanging="0"/>
                    <w:textAlignment w:val="baseline"/>
                    <w:rPr>
                      <w:color w:val="000000"/>
                    </w:rPr>
                  </w:pPr>
                  <w:r>
                    <w:rPr>
                      <w:color w:val="000000"/>
                    </w:rPr>
                    <w:t>Збереження існуючого стану</w:t>
                  </w:r>
                </w:p>
                <w:p>
                  <w:pPr>
                    <w:pStyle w:val="Normal"/>
                    <w:widowControl w:val="false"/>
                    <w:spacing w:before="150" w:after="150"/>
                    <w:textAlignment w:val="baseline"/>
                    <w:rPr>
                      <w:color w:val="000000"/>
                    </w:rPr>
                  </w:pPr>
                  <w:r>
                    <w:rPr>
                      <w:color w:val="000000"/>
                    </w:rPr>
                  </w:r>
                </w:p>
              </w:tc>
              <w:tc>
                <w:tcPr>
                  <w:tcW w:w="3277" w:type="dxa"/>
                  <w:gridSpan w:val="3"/>
                  <w:tcBorders>
                    <w:top w:val="single" w:sz="4" w:space="0" w:color="000000"/>
                    <w:left w:val="single" w:sz="4" w:space="0" w:color="000000"/>
                    <w:bottom w:val="single" w:sz="4" w:space="0" w:color="000000"/>
                  </w:tcBorders>
                  <w:shd w:color="auto" w:fill="auto" w:val="clear"/>
                </w:tcPr>
                <w:p>
                  <w:pPr>
                    <w:pStyle w:val="Normal"/>
                    <w:widowControl w:val="false"/>
                    <w:ind w:left="113" w:hanging="0"/>
                    <w:textAlignment w:val="baseline"/>
                    <w:rPr>
                      <w:color w:val="000000"/>
                    </w:rPr>
                  </w:pPr>
                  <w:r>
                    <w:rPr>
                      <w:color w:val="000000"/>
                    </w:rPr>
                    <w:t>Перший альтернативний спосіб не зможе забезпечити досягнення поставлених цілей, тому що він не надає можливості удосконалення процедур, пов’язаних з визначенням відновної вартості зелених насаджень  на території Луцької міської територіальної громади.</w:t>
                  </w:r>
                </w:p>
                <w:p>
                  <w:pPr>
                    <w:pStyle w:val="Normal"/>
                    <w:widowControl w:val="false"/>
                    <w:ind w:left="113" w:hanging="0"/>
                    <w:textAlignment w:val="baseline"/>
                    <w:rPr>
                      <w:color w:val="000000"/>
                    </w:rPr>
                  </w:pPr>
                  <w:r>
                    <w:rPr>
                      <w:color w:val="000000"/>
                    </w:rPr>
                    <w:t>Аргументи для переваги відсутні. Відмова від цієї альтернативи дозволить реалізувати поставлені цілі.</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12" w:hanging="0"/>
                    <w:jc w:val="center"/>
                    <w:rPr>
                      <w:color w:val="000000"/>
                    </w:rPr>
                  </w:pPr>
                  <w:r>
                    <w:rPr>
                      <w:color w:val="000000"/>
                    </w:rPr>
                    <w:t>Х</w:t>
                  </w:r>
                </w:p>
              </w:tc>
            </w:tr>
            <w:tr>
              <w:trPr>
                <w:trHeight w:val="4064" w:hRule="atLeast"/>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spacing w:before="150" w:after="150"/>
                    <w:ind w:left="170" w:hanging="0"/>
                    <w:textAlignment w:val="baseline"/>
                    <w:rPr>
                      <w:color w:val="000000"/>
                    </w:rPr>
                  </w:pPr>
                  <w:r>
                    <w:rPr>
                      <w:color w:val="000000"/>
                    </w:rPr>
                    <w:t>Альтернатива 2</w:t>
                  </w:r>
                </w:p>
                <w:p>
                  <w:pPr>
                    <w:pStyle w:val="Normal"/>
                    <w:widowControl w:val="false"/>
                    <w:spacing w:before="150" w:after="150"/>
                    <w:ind w:left="113" w:hanging="0"/>
                    <w:textAlignment w:val="baseline"/>
                    <w:rPr>
                      <w:color w:val="000000"/>
                    </w:rPr>
                  </w:pPr>
                  <w:r>
                    <w:rPr>
                      <w:color w:val="000000"/>
                    </w:rPr>
                    <w:t>Прийняти запропонований проєкт регуляторного акта</w:t>
                  </w:r>
                </w:p>
              </w:tc>
              <w:tc>
                <w:tcPr>
                  <w:tcW w:w="3277"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before="36" w:after="36"/>
                    <w:ind w:left="113" w:hanging="0"/>
                    <w:textAlignment w:val="baseline"/>
                    <w:rPr>
                      <w:color w:val="000000"/>
                    </w:rPr>
                  </w:pPr>
                  <w:r>
                    <w:rPr>
                      <w:color w:val="000000"/>
                    </w:rPr>
                    <w:t>Обрана альтернатива є найбільш раціональним варіантом врахування інтересів всіх основних груп, на яких проблема справляє вплив.</w:t>
                  </w:r>
                </w:p>
                <w:p>
                  <w:pPr>
                    <w:pStyle w:val="Normal"/>
                    <w:widowControl w:val="false"/>
                    <w:ind w:left="113" w:hanging="0"/>
                    <w:textAlignment w:val="baseline"/>
                    <w:rPr>
                      <w:color w:val="000000"/>
                    </w:rPr>
                  </w:pPr>
                  <w:r>
                    <w:rPr>
                      <w:color w:val="000000"/>
                    </w:rPr>
                    <w:t>Другий альтернативний спосіб є придатним для вирішення проблеми, тому що при прийнятті запропонованого  проєкту регуляторного акта  буде досягнуто визначених цілей.</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Х</w:t>
                  </w:r>
                </w:p>
              </w:tc>
            </w:tr>
            <w:tr>
              <w:trPr>
                <w:trHeight w:val="4245" w:hRule="atLeast"/>
              </w:trPr>
              <w:tc>
                <w:tcPr>
                  <w:tcW w:w="1869" w:type="dxa"/>
                  <w:tcBorders>
                    <w:top w:val="single" w:sz="4" w:space="0" w:color="000000"/>
                    <w:left w:val="single" w:sz="4" w:space="0" w:color="000000"/>
                    <w:bottom w:val="single" w:sz="4" w:space="0" w:color="000000"/>
                  </w:tcBorders>
                  <w:shd w:color="auto" w:fill="auto" w:val="clear"/>
                </w:tcPr>
                <w:p>
                  <w:pPr>
                    <w:pStyle w:val="Normal"/>
                    <w:widowControl w:val="false"/>
                    <w:ind w:left="170" w:hanging="0"/>
                    <w:textAlignment w:val="baseline"/>
                    <w:rPr>
                      <w:color w:val="000000"/>
                    </w:rPr>
                  </w:pPr>
                  <w:r>
                    <w:rPr>
                      <w:color w:val="000000"/>
                    </w:rPr>
                    <w:t>Альтернатива 3</w:t>
                  </w:r>
                </w:p>
                <w:p>
                  <w:pPr>
                    <w:pStyle w:val="Normal"/>
                    <w:widowControl w:val="false"/>
                    <w:spacing w:before="150" w:after="150"/>
                    <w:ind w:left="113" w:hanging="0"/>
                    <w:textAlignment w:val="baseline"/>
                    <w:rPr>
                      <w:color w:val="000000"/>
                    </w:rPr>
                  </w:pPr>
                  <w:r>
                    <w:rPr>
                      <w:color w:val="000000"/>
                    </w:rPr>
                    <w:t>Очікування прийняття нормативно-правових актів на загальнодержавному рівні</w:t>
                  </w:r>
                </w:p>
                <w:p>
                  <w:pPr>
                    <w:pStyle w:val="Normal"/>
                    <w:widowControl w:val="false"/>
                    <w:spacing w:before="150" w:after="150"/>
                    <w:textAlignment w:val="baseline"/>
                    <w:rPr>
                      <w:color w:val="000000"/>
                    </w:rPr>
                  </w:pPr>
                  <w:r>
                    <w:rPr>
                      <w:color w:val="000000"/>
                    </w:rPr>
                  </w:r>
                </w:p>
              </w:tc>
              <w:tc>
                <w:tcPr>
                  <w:tcW w:w="3277" w:type="dxa"/>
                  <w:gridSpan w:val="3"/>
                  <w:tcBorders>
                    <w:top w:val="single" w:sz="4" w:space="0" w:color="000000"/>
                    <w:left w:val="single" w:sz="4" w:space="0" w:color="000000"/>
                    <w:bottom w:val="single" w:sz="4" w:space="0" w:color="000000"/>
                  </w:tcBorders>
                  <w:shd w:color="auto" w:fill="auto" w:val="clear"/>
                </w:tcPr>
                <w:p>
                  <w:pPr>
                    <w:pStyle w:val="Normal"/>
                    <w:widowControl w:val="false"/>
                    <w:ind w:left="113" w:hanging="0"/>
                    <w:textAlignment w:val="baseline"/>
                    <w:rPr>
                      <w:color w:val="000000"/>
                    </w:rPr>
                  </w:pPr>
                  <w:r>
                    <w:rPr>
                      <w:color w:val="000000"/>
                    </w:rPr>
                    <w:t>Наразі на загальнодержавному рівні не зареєстровано законопроєктів, які б враховували вирішення назрілої проблеми щодо визначення відновної вартості зелених насаджень на територіях громад (в межах та за межами населених пунктів).</w:t>
                  </w:r>
                </w:p>
                <w:p>
                  <w:pPr>
                    <w:pStyle w:val="Normal"/>
                    <w:widowControl w:val="false"/>
                    <w:ind w:left="113" w:hanging="0"/>
                    <w:textAlignment w:val="baseline"/>
                    <w:rPr>
                      <w:color w:val="000000"/>
                    </w:rPr>
                  </w:pPr>
                  <w:r>
                    <w:rPr>
                      <w:color w:val="000000"/>
                    </w:rPr>
                    <w:t>Водночас ці питання належать до компетенції органів місцевого самоврядування, що зумовлює їх вирішення на місцевому рівні.</w:t>
                  </w:r>
                </w:p>
              </w:tc>
              <w:tc>
                <w:tcPr>
                  <w:tcW w:w="25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50" w:after="150"/>
                    <w:jc w:val="center"/>
                    <w:textAlignment w:val="baseline"/>
                    <w:rPr>
                      <w:color w:val="000000"/>
                    </w:rPr>
                  </w:pPr>
                  <w:r>
                    <w:rPr>
                      <w:color w:val="000000"/>
                    </w:rPr>
                    <w:t>Х</w:t>
                  </w:r>
                </w:p>
              </w:tc>
            </w:tr>
          </w:tbl>
          <w:p>
            <w:pPr>
              <w:pStyle w:val="Normal"/>
              <w:widowControl w:val="false"/>
              <w:rPr>
                <w:color w:val="000000"/>
              </w:rPr>
            </w:pPr>
            <w:r>
              <w:rPr>
                <w:color w:val="000000"/>
              </w:rPr>
            </w:r>
          </w:p>
        </w:tc>
      </w:tr>
      <w:tr>
        <w:trPr>
          <w:trHeight w:val="1794"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5.</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rPr>
              <w:t>Механізми та заходи, які забезпечать розв’язання визначеної проблеми</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rPr/>
            </w:pPr>
            <w:r>
              <w:rPr>
                <w:color w:val="000000"/>
              </w:rPr>
              <w:t xml:space="preserve">    </w:t>
            </w:r>
            <w:r>
              <w:rPr>
                <w:color w:val="000000"/>
              </w:rPr>
              <w:t>Механізм для розв’язання визначеної проблеми – ухвалення рішення виконавчого комітету Луцької міської ради «</w:t>
            </w:r>
            <w:r>
              <w:rPr>
                <w:rFonts w:cs="Times New Roman CYR" w:ascii="Times New Roman CYR" w:hAnsi="Times New Roman CYR"/>
                <w:color w:val="000000"/>
              </w:rPr>
              <w:t xml:space="preserve">Про </w:t>
            </w:r>
            <w:r>
              <w:rPr>
                <w:rFonts w:cs="Times New Roman CYR"/>
                <w:color w:val="000000"/>
                <w:lang w:bidi="hi-IN"/>
              </w:rPr>
              <w:t xml:space="preserve">затвердження показників для визначення відновної вартості зелених насаджень </w:t>
            </w:r>
            <w:r>
              <w:rPr>
                <w:rFonts w:cs="Times New Roman CYR" w:ascii="Times New Roman CYR" w:hAnsi="Times New Roman CYR"/>
                <w:color w:val="000000"/>
              </w:rPr>
              <w:t xml:space="preserve">на території </w:t>
            </w:r>
            <w:r>
              <w:rPr>
                <w:rStyle w:val="Style16"/>
                <w:rFonts w:cs="Times New Roman CYR" w:ascii="Times New Roman CYR" w:hAnsi="Times New Roman CYR"/>
                <w:b w:val="false"/>
                <w:color w:val="000000"/>
              </w:rPr>
              <w:t>Луцької міської територіальної громади</w:t>
            </w:r>
            <w:r>
              <w:rPr>
                <w:color w:val="000000"/>
              </w:rPr>
              <w:t>».</w:t>
            </w:r>
          </w:p>
          <w:p>
            <w:pPr>
              <w:pStyle w:val="Normal"/>
              <w:widowControl w:val="false"/>
              <w:shd w:val="clear" w:color="auto" w:fill="FFFFFF"/>
              <w:jc w:val="both"/>
              <w:rPr>
                <w:color w:val="000000"/>
              </w:rPr>
            </w:pPr>
            <w:r>
              <w:rPr>
                <w:color w:val="000000"/>
              </w:rPr>
              <w:t xml:space="preserve">      </w:t>
            </w:r>
            <w:r>
              <w:rPr>
                <w:color w:val="000000"/>
              </w:rPr>
              <w:t>Заходи для розв’язання проблеми: широке інформування громадян та суб'єктів господарювання.</w:t>
            </w:r>
          </w:p>
        </w:tc>
      </w:tr>
      <w:tr>
        <w:trPr>
          <w:trHeight w:val="559"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6</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textAlignment w:val="baseline"/>
              <w:rPr>
                <w:color w:val="000000"/>
              </w:rPr>
            </w:pPr>
            <w:r>
              <w:rPr>
                <w:bCs/>
                <w:color w:val="000000"/>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rPr>
                <w:color w:val="FF0000"/>
              </w:rPr>
            </w:pPr>
            <w:r>
              <w:rPr>
                <w:color w:val="FF0000"/>
              </w:rPr>
              <w:t xml:space="preserve">    </w:t>
            </w:r>
            <w:r>
              <w:rPr>
                <w:color w:val="000000"/>
              </w:rPr>
              <w:t>Можливість досягнення цілей, передбачених цим регуляторним актом, є цілком реальною та обґрунтованою. Визначення відновної вартості зелених насаджень та сплата відповідних коштів суб’єктами, що видаляють зелені насадження, проводиться до видачі відповідних дозвільних документів. Тобто гарантується досягнення поставлених цілей.</w:t>
            </w:r>
          </w:p>
          <w:p>
            <w:pPr>
              <w:pStyle w:val="NormalWeb"/>
              <w:widowControl w:val="false"/>
              <w:spacing w:beforeAutospacing="0" w:before="0" w:afterAutospacing="0" w:after="0"/>
              <w:rPr>
                <w:color w:val="000000"/>
              </w:rPr>
            </w:pPr>
            <w:r>
              <w:rPr>
                <w:color w:val="000000"/>
              </w:rPr>
              <w:t xml:space="preserve">    </w:t>
            </w:r>
            <w:r>
              <w:rPr>
                <w:color w:val="000000"/>
              </w:rPr>
              <w:t>Кошти, що надходитимуть до бюджету як відновна вартість зелених насаджень, будуть спрямовуватися на збільшення об’ємів висадки зелених насаджень на території громади, реконструкцію та капітальний ремонт парків, скверів тощо, що вплине на покращення екологічного стану, зменшить навантаження на бюджет в частині фінансування робіт із нового зеленого будівництва і реконструкції зелених насаджень.</w:t>
            </w:r>
          </w:p>
          <w:p>
            <w:pPr>
              <w:pStyle w:val="NormalWeb"/>
              <w:widowControl w:val="false"/>
              <w:spacing w:beforeAutospacing="0" w:before="0" w:afterAutospacing="0" w:after="0"/>
              <w:rPr>
                <w:color w:val="000000"/>
              </w:rPr>
            </w:pPr>
            <w:r>
              <w:rPr>
                <w:color w:val="000000"/>
              </w:rPr>
            </w:r>
          </w:p>
          <w:p>
            <w:pPr>
              <w:pStyle w:val="Normal"/>
              <w:widowControl w:val="false"/>
              <w:shd w:val="clear" w:color="auto" w:fill="FFFFFF"/>
              <w:jc w:val="both"/>
              <w:rPr>
                <w:color w:val="000000"/>
              </w:rPr>
            </w:pPr>
            <w:r>
              <w:rPr>
                <w:color w:val="000000"/>
              </w:rPr>
            </w:r>
          </w:p>
        </w:tc>
      </w:tr>
      <w:tr>
        <w:trPr>
          <w:trHeight w:val="972"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7.</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bCs/>
                <w:color w:val="000000"/>
              </w:rPr>
              <w:t>Обґрунтування запропонованого строку дії регуляторного акта</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rPr>
                <w:color w:val="000000"/>
              </w:rPr>
            </w:pPr>
            <w:r>
              <w:rPr>
                <w:color w:val="000000"/>
              </w:rPr>
              <w:t xml:space="preserve">  </w:t>
            </w:r>
            <w:r>
              <w:rPr>
                <w:color w:val="000000"/>
              </w:rPr>
              <w:t>Запропонований проєкт регуляторного акту запроваджується до прийняття нових нормативних актів.</w:t>
            </w:r>
          </w:p>
          <w:p>
            <w:pPr>
              <w:pStyle w:val="Normal"/>
              <w:widowControl w:val="false"/>
              <w:shd w:val="clear" w:color="auto" w:fill="FFFFFF"/>
              <w:jc w:val="both"/>
              <w:rPr>
                <w:color w:val="000000"/>
              </w:rPr>
            </w:pPr>
            <w:r>
              <w:rPr>
                <w:color w:val="000000"/>
              </w:rPr>
              <w:t xml:space="preserve">      </w:t>
            </w:r>
            <w:r>
              <w:rPr>
                <w:color w:val="000000"/>
              </w:rPr>
              <w:t>У разі потреби, до нього вноситимуться зміни за підсумками аналізу відстеження результатів його дії.</w:t>
            </w:r>
          </w:p>
        </w:tc>
      </w:tr>
      <w:tr>
        <w:trPr>
          <w:trHeight w:val="2128"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8.</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rPr>
              <w:t>Визначення показників результативності акта</w:t>
            </w:r>
          </w:p>
          <w:p>
            <w:pPr>
              <w:pStyle w:val="Normal"/>
              <w:widowControl w:val="false"/>
              <w:rPr>
                <w:color w:val="000000"/>
              </w:rPr>
            </w:pPr>
            <w:r>
              <w:rPr>
                <w:color w:val="000000"/>
              </w:rPr>
            </w:r>
          </w:p>
          <w:p>
            <w:pPr>
              <w:pStyle w:val="Normal"/>
              <w:widowControl w:val="false"/>
              <w:rPr>
                <w:i/>
                <w:i/>
                <w:color w:val="000000"/>
              </w:rPr>
            </w:pPr>
            <w:r>
              <w:rPr>
                <w:i/>
                <w:color w:val="000000"/>
              </w:rPr>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rPr>
                <w:color w:val="000000"/>
              </w:rPr>
            </w:pPr>
            <w:r>
              <w:rPr>
                <w:color w:val="000000"/>
              </w:rPr>
              <w:t xml:space="preserve">     </w:t>
            </w:r>
            <w:r>
              <w:rPr>
                <w:color w:val="000000"/>
              </w:rPr>
              <w:t>Прогнозними значеннями показників результативності регуляторного акта є:</w:t>
            </w:r>
          </w:p>
          <w:p>
            <w:pPr>
              <w:pStyle w:val="Normal"/>
              <w:widowControl w:val="false"/>
              <w:jc w:val="both"/>
              <w:rPr>
                <w:color w:val="000000"/>
              </w:rPr>
            </w:pPr>
            <w:r>
              <w:rPr>
                <w:color w:val="000000"/>
                <w:szCs w:val="28"/>
              </w:rPr>
              <w:t xml:space="preserve">    </w:t>
            </w:r>
            <w:r>
              <w:rPr>
                <w:color w:val="000000"/>
                <w:szCs w:val="28"/>
              </w:rPr>
              <w:t>- розмір надходжень до бюджету громади, пов’язаних з дією акта (тис. грн.);</w:t>
            </w:r>
          </w:p>
          <w:p>
            <w:pPr>
              <w:pStyle w:val="Normal"/>
              <w:widowControl w:val="false"/>
              <w:jc w:val="both"/>
              <w:rPr>
                <w:color w:val="000000"/>
                <w:szCs w:val="28"/>
              </w:rPr>
            </w:pPr>
            <w:r>
              <w:rPr>
                <w:color w:val="000000"/>
                <w:szCs w:val="28"/>
              </w:rPr>
              <w:t xml:space="preserve">    </w:t>
            </w:r>
            <w:r>
              <w:rPr>
                <w:color w:val="000000"/>
                <w:szCs w:val="28"/>
              </w:rPr>
              <w:t>- кількість суб’єктів господарювання та /або фізичних осіб, на яких поширюватиметься дія акта (шт.);</w:t>
            </w:r>
          </w:p>
          <w:p>
            <w:pPr>
              <w:pStyle w:val="Normal"/>
              <w:widowControl w:val="false"/>
              <w:jc w:val="both"/>
              <w:rPr>
                <w:color w:val="FF0000"/>
              </w:rPr>
            </w:pPr>
            <w:r>
              <w:rPr>
                <w:color w:val="FF0000"/>
                <w:szCs w:val="28"/>
              </w:rPr>
              <w:t xml:space="preserve">  </w:t>
            </w:r>
            <w:r>
              <w:rPr>
                <w:color w:val="000000"/>
                <w:szCs w:val="28"/>
              </w:rPr>
              <w:t xml:space="preserve">   </w:t>
            </w:r>
            <w:r>
              <w:rPr>
                <w:color w:val="000000"/>
                <w:szCs w:val="28"/>
              </w:rPr>
              <w:t>- кількість видалених дерев, кущів, газонів.</w:t>
            </w:r>
          </w:p>
          <w:p>
            <w:pPr>
              <w:pStyle w:val="Normal"/>
              <w:widowControl w:val="false"/>
              <w:jc w:val="both"/>
              <w:rPr>
                <w:color w:val="000000"/>
              </w:rPr>
            </w:pPr>
            <w:r>
              <w:rPr>
                <w:color w:val="000000"/>
              </w:rPr>
            </w:r>
          </w:p>
        </w:tc>
      </w:tr>
      <w:tr>
        <w:trPr>
          <w:trHeight w:val="783" w:hRule="atLeast"/>
        </w:trPr>
        <w:tc>
          <w:tcPr>
            <w:tcW w:w="53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t>9.</w:t>
            </w:r>
          </w:p>
        </w:tc>
        <w:tc>
          <w:tcPr>
            <w:tcW w:w="209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bCs/>
                <w:color w:val="000000"/>
              </w:rPr>
              <w:t>Визначення заходів, за допомогою яких здійснюватиметься відстеження результативності дії регуляторного акта</w:t>
            </w:r>
          </w:p>
        </w:tc>
        <w:tc>
          <w:tcPr>
            <w:tcW w:w="7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rPr>
                <w:color w:val="000000"/>
              </w:rPr>
            </w:pPr>
            <w:r>
              <w:rPr>
                <w:color w:val="000000"/>
              </w:rPr>
              <w:t xml:space="preserve">  </w:t>
            </w:r>
            <w:r>
              <w:rPr>
                <w:color w:val="000000"/>
              </w:rPr>
              <w:t>Відносно цього регуляторного акта повинно послідовно здійснюватися базове, повторне та періодичне відстеження його результативності. Зокрема:</w:t>
            </w:r>
          </w:p>
          <w:p>
            <w:pPr>
              <w:pStyle w:val="Normal"/>
              <w:widowControl w:val="false"/>
              <w:shd w:val="clear" w:color="auto" w:fill="FFFFFF"/>
              <w:jc w:val="both"/>
              <w:rPr>
                <w:color w:val="000000"/>
              </w:rPr>
            </w:pPr>
            <w:r>
              <w:rPr>
                <w:color w:val="000000"/>
              </w:rPr>
              <w:t>- базове відстеження результативності регуляторного акта буде проведено після набрання чинності цим регуляторним актом;</w:t>
            </w:r>
          </w:p>
          <w:p>
            <w:pPr>
              <w:pStyle w:val="Style91"/>
              <w:widowControl w:val="false"/>
              <w:ind w:hanging="0"/>
              <w:jc w:val="both"/>
              <w:rPr>
                <w:color w:val="000000"/>
              </w:rPr>
            </w:pPr>
            <w:r>
              <w:rPr>
                <w:color w:val="000000"/>
                <w:lang w:val="uk-UA"/>
              </w:rPr>
              <w:t>- повторне відстеження результативності регуляторного акта буде здійснено через 1 рік з дня набрання чинності цього регуляторного акта.</w:t>
            </w:r>
          </w:p>
          <w:p>
            <w:pPr>
              <w:pStyle w:val="Style91"/>
              <w:widowControl w:val="false"/>
              <w:ind w:hanging="0"/>
              <w:jc w:val="both"/>
              <w:rPr>
                <w:color w:val="000000"/>
              </w:rPr>
            </w:pPr>
            <w:r>
              <w:rPr>
                <w:color w:val="000000"/>
                <w:lang w:val="uk-UA"/>
              </w:rPr>
              <w:t>- періодичні відстеження будуть проводитись раз на кожні три роки з дня закінчення заходів з повторного відстеження.</w:t>
            </w:r>
          </w:p>
          <w:p>
            <w:pPr>
              <w:pStyle w:val="Normal"/>
              <w:widowControl w:val="false"/>
              <w:jc w:val="both"/>
              <w:rPr>
                <w:color w:val="000000"/>
              </w:rPr>
            </w:pPr>
            <w:r>
              <w:rPr>
                <w:color w:val="000000"/>
              </w:rPr>
              <w:t xml:space="preserve"> </w:t>
            </w:r>
            <w:r>
              <w:rPr>
                <w:color w:val="000000"/>
              </w:rPr>
              <w:t>Відповідні відстеження будуть проводитись шляхом аналізу статистичних даних Луцької міської ради, відділу екології та департаменту житлово-комунального господарства.</w:t>
            </w:r>
          </w:p>
        </w:tc>
      </w:tr>
    </w:tbl>
    <w:p>
      <w:pPr>
        <w:pStyle w:val="Normal"/>
        <w:tabs>
          <w:tab w:val="clear" w:pos="720"/>
          <w:tab w:val="left" w:pos="5955" w:leader="none"/>
        </w:tabs>
        <w:jc w:val="both"/>
        <w:rPr>
          <w:color w:val="000000"/>
          <w:sz w:val="26"/>
          <w:szCs w:val="26"/>
        </w:rPr>
      </w:pPr>
      <w:r>
        <w:rPr>
          <w:color w:val="000000"/>
          <w:sz w:val="26"/>
          <w:szCs w:val="26"/>
        </w:rPr>
      </w:r>
    </w:p>
    <w:p>
      <w:pPr>
        <w:pStyle w:val="Normal"/>
        <w:tabs>
          <w:tab w:val="clear" w:pos="720"/>
          <w:tab w:val="left" w:pos="5955" w:leader="none"/>
        </w:tabs>
        <w:jc w:val="both"/>
        <w:rPr/>
      </w:pPr>
      <w:r>
        <w:rPr>
          <w:color w:val="000000"/>
          <w:sz w:val="26"/>
          <w:szCs w:val="26"/>
        </w:rPr>
        <w:t>Заступник міського голови                                                                   Ірина ЧЕБЕЛЮК</w:t>
        <w:tab/>
      </w:r>
    </w:p>
    <w:p>
      <w:pPr>
        <w:pStyle w:val="Normal"/>
        <w:ind w:firstLine="567"/>
        <w:rPr>
          <w:color w:val="000000"/>
          <w:sz w:val="26"/>
          <w:szCs w:val="26"/>
        </w:rPr>
      </w:pPr>
      <w:r>
        <w:rPr>
          <w:color w:val="000000"/>
          <w:sz w:val="26"/>
          <w:szCs w:val="26"/>
        </w:rPr>
      </w:r>
    </w:p>
    <w:p>
      <w:pPr>
        <w:pStyle w:val="Normal"/>
        <w:rPr>
          <w:color w:val="000000"/>
          <w:sz w:val="26"/>
          <w:szCs w:val="26"/>
        </w:rPr>
      </w:pPr>
      <w:r>
        <w:rPr>
          <w:color w:val="000000"/>
          <w:sz w:val="26"/>
          <w:szCs w:val="26"/>
        </w:rPr>
      </w:r>
    </w:p>
    <w:p>
      <w:pPr>
        <w:pStyle w:val="Normal"/>
        <w:rPr/>
      </w:pPr>
      <w:r>
        <w:rPr>
          <w:color w:val="000000"/>
          <w:sz w:val="26"/>
          <w:szCs w:val="26"/>
        </w:rPr>
        <w:t xml:space="preserve">В.о. начальника відділу екології                                 </w:t>
        <w:tab/>
        <w:t xml:space="preserve">                         Олег  ГЕЛЕТА</w:t>
      </w:r>
    </w:p>
    <w:sectPr>
      <w:headerReference w:type="default" r:id="rId3"/>
      <w:headerReference w:type="first" r:id="rId4"/>
      <w:type w:val="nextPage"/>
      <w:pgSz w:w="11906" w:h="16838"/>
      <w:pgMar w:left="1418" w:right="851" w:header="284" w:top="851" w:footer="0" w:bottom="1418"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8</w:t>
    </w:r>
    <w:r>
      <w:rPr/>
      <w:fldChar w:fldCharType="end"/>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7d71"/>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9b7d71"/>
    <w:rPr>
      <w:rFonts w:ascii="Times New Roman" w:hAnsi="Times New Roman" w:cs="Times New Roman"/>
      <w:color w:val="000000"/>
      <w:spacing w:val="-3"/>
      <w:sz w:val="28"/>
      <w:szCs w:val="28"/>
      <w:lang w:val="uk-UA"/>
    </w:rPr>
  </w:style>
  <w:style w:type="character" w:styleId="WW8Num2z0" w:customStyle="1">
    <w:name w:val="WW8Num2z0"/>
    <w:qFormat/>
    <w:rsid w:val="009b7d71"/>
    <w:rPr/>
  </w:style>
  <w:style w:type="character" w:styleId="WW8Num2z1" w:customStyle="1">
    <w:name w:val="WW8Num2z1"/>
    <w:qFormat/>
    <w:rsid w:val="009b7d71"/>
    <w:rPr/>
  </w:style>
  <w:style w:type="character" w:styleId="WW8Num2z2" w:customStyle="1">
    <w:name w:val="WW8Num2z2"/>
    <w:qFormat/>
    <w:rsid w:val="009b7d71"/>
    <w:rPr/>
  </w:style>
  <w:style w:type="character" w:styleId="WW8Num2z3" w:customStyle="1">
    <w:name w:val="WW8Num2z3"/>
    <w:qFormat/>
    <w:rsid w:val="009b7d71"/>
    <w:rPr/>
  </w:style>
  <w:style w:type="character" w:styleId="WW8Num2z4" w:customStyle="1">
    <w:name w:val="WW8Num2z4"/>
    <w:qFormat/>
    <w:rsid w:val="009b7d71"/>
    <w:rPr/>
  </w:style>
  <w:style w:type="character" w:styleId="WW8Num2z5" w:customStyle="1">
    <w:name w:val="WW8Num2z5"/>
    <w:qFormat/>
    <w:rsid w:val="009b7d71"/>
    <w:rPr/>
  </w:style>
  <w:style w:type="character" w:styleId="WW8Num2z6" w:customStyle="1">
    <w:name w:val="WW8Num2z6"/>
    <w:qFormat/>
    <w:rsid w:val="009b7d71"/>
    <w:rPr/>
  </w:style>
  <w:style w:type="character" w:styleId="WW8Num2z7" w:customStyle="1">
    <w:name w:val="WW8Num2z7"/>
    <w:qFormat/>
    <w:rsid w:val="009b7d71"/>
    <w:rPr/>
  </w:style>
  <w:style w:type="character" w:styleId="WW8Num2z8" w:customStyle="1">
    <w:name w:val="WW8Num2z8"/>
    <w:qFormat/>
    <w:rsid w:val="009b7d71"/>
    <w:rPr/>
  </w:style>
  <w:style w:type="character" w:styleId="5" w:customStyle="1">
    <w:name w:val="Основной шрифт абзаца5"/>
    <w:qFormat/>
    <w:rsid w:val="009b7d71"/>
    <w:rPr/>
  </w:style>
  <w:style w:type="character" w:styleId="4" w:customStyle="1">
    <w:name w:val="Основной шрифт абзаца4"/>
    <w:qFormat/>
    <w:rsid w:val="009b7d71"/>
    <w:rPr/>
  </w:style>
  <w:style w:type="character" w:styleId="3" w:customStyle="1">
    <w:name w:val="Основной шрифт абзаца3"/>
    <w:qFormat/>
    <w:rsid w:val="009b7d71"/>
    <w:rPr/>
  </w:style>
  <w:style w:type="character" w:styleId="WW8Num3z0" w:customStyle="1">
    <w:name w:val="WW8Num3z0"/>
    <w:qFormat/>
    <w:rsid w:val="009b7d71"/>
    <w:rPr/>
  </w:style>
  <w:style w:type="character" w:styleId="WW8Num3z1" w:customStyle="1">
    <w:name w:val="WW8Num3z1"/>
    <w:qFormat/>
    <w:rsid w:val="009b7d71"/>
    <w:rPr/>
  </w:style>
  <w:style w:type="character" w:styleId="WW8Num3z2" w:customStyle="1">
    <w:name w:val="WW8Num3z2"/>
    <w:qFormat/>
    <w:rsid w:val="009b7d71"/>
    <w:rPr/>
  </w:style>
  <w:style w:type="character" w:styleId="WW8Num3z3" w:customStyle="1">
    <w:name w:val="WW8Num3z3"/>
    <w:qFormat/>
    <w:rsid w:val="009b7d71"/>
    <w:rPr/>
  </w:style>
  <w:style w:type="character" w:styleId="2" w:customStyle="1">
    <w:name w:val="Основной шрифт абзаца2"/>
    <w:qFormat/>
    <w:rsid w:val="009b7d71"/>
    <w:rPr/>
  </w:style>
  <w:style w:type="character" w:styleId="WW8Num3z4" w:customStyle="1">
    <w:name w:val="WW8Num3z4"/>
    <w:qFormat/>
    <w:rsid w:val="009b7d71"/>
    <w:rPr/>
  </w:style>
  <w:style w:type="character" w:styleId="WW8Num3z5" w:customStyle="1">
    <w:name w:val="WW8Num3z5"/>
    <w:qFormat/>
    <w:rsid w:val="009b7d71"/>
    <w:rPr/>
  </w:style>
  <w:style w:type="character" w:styleId="WW8Num3z6" w:customStyle="1">
    <w:name w:val="WW8Num3z6"/>
    <w:qFormat/>
    <w:rsid w:val="009b7d71"/>
    <w:rPr/>
  </w:style>
  <w:style w:type="character" w:styleId="WW8Num3z7" w:customStyle="1">
    <w:name w:val="WW8Num3z7"/>
    <w:qFormat/>
    <w:rsid w:val="009b7d71"/>
    <w:rPr/>
  </w:style>
  <w:style w:type="character" w:styleId="WW8Num3z8" w:customStyle="1">
    <w:name w:val="WW8Num3z8"/>
    <w:qFormat/>
    <w:rsid w:val="009b7d71"/>
    <w:rPr/>
  </w:style>
  <w:style w:type="character" w:styleId="WW8Num4z0" w:customStyle="1">
    <w:name w:val="WW8Num4z0"/>
    <w:qFormat/>
    <w:rsid w:val="009b7d71"/>
    <w:rPr/>
  </w:style>
  <w:style w:type="character" w:styleId="WW8Num4z1" w:customStyle="1">
    <w:name w:val="WW8Num4z1"/>
    <w:qFormat/>
    <w:rsid w:val="009b7d71"/>
    <w:rPr/>
  </w:style>
  <w:style w:type="character" w:styleId="WW8Num4z2" w:customStyle="1">
    <w:name w:val="WW8Num4z2"/>
    <w:qFormat/>
    <w:rsid w:val="009b7d71"/>
    <w:rPr/>
  </w:style>
  <w:style w:type="character" w:styleId="WW8Num4z3" w:customStyle="1">
    <w:name w:val="WW8Num4z3"/>
    <w:qFormat/>
    <w:rsid w:val="009b7d71"/>
    <w:rPr/>
  </w:style>
  <w:style w:type="character" w:styleId="WW8Num4z4" w:customStyle="1">
    <w:name w:val="WW8Num4z4"/>
    <w:qFormat/>
    <w:rsid w:val="009b7d71"/>
    <w:rPr/>
  </w:style>
  <w:style w:type="character" w:styleId="WW8Num4z5" w:customStyle="1">
    <w:name w:val="WW8Num4z5"/>
    <w:qFormat/>
    <w:rsid w:val="009b7d71"/>
    <w:rPr/>
  </w:style>
  <w:style w:type="character" w:styleId="WW8Num4z6" w:customStyle="1">
    <w:name w:val="WW8Num4z6"/>
    <w:qFormat/>
    <w:rsid w:val="009b7d71"/>
    <w:rPr/>
  </w:style>
  <w:style w:type="character" w:styleId="WW8Num4z7" w:customStyle="1">
    <w:name w:val="WW8Num4z7"/>
    <w:qFormat/>
    <w:rsid w:val="009b7d71"/>
    <w:rPr/>
  </w:style>
  <w:style w:type="character" w:styleId="WW8Num4z8" w:customStyle="1">
    <w:name w:val="WW8Num4z8"/>
    <w:qFormat/>
    <w:rsid w:val="009b7d71"/>
    <w:rPr/>
  </w:style>
  <w:style w:type="character" w:styleId="WW8Num5z0" w:customStyle="1">
    <w:name w:val="WW8Num5z0"/>
    <w:qFormat/>
    <w:rsid w:val="009b7d71"/>
    <w:rPr/>
  </w:style>
  <w:style w:type="character" w:styleId="WW8Num5z1" w:customStyle="1">
    <w:name w:val="WW8Num5z1"/>
    <w:qFormat/>
    <w:rsid w:val="009b7d71"/>
    <w:rPr/>
  </w:style>
  <w:style w:type="character" w:styleId="WW8Num5z2" w:customStyle="1">
    <w:name w:val="WW8Num5z2"/>
    <w:qFormat/>
    <w:rsid w:val="009b7d71"/>
    <w:rPr/>
  </w:style>
  <w:style w:type="character" w:styleId="WW8Num5z3" w:customStyle="1">
    <w:name w:val="WW8Num5z3"/>
    <w:qFormat/>
    <w:rsid w:val="009b7d71"/>
    <w:rPr/>
  </w:style>
  <w:style w:type="character" w:styleId="WW8Num5z4" w:customStyle="1">
    <w:name w:val="WW8Num5z4"/>
    <w:qFormat/>
    <w:rsid w:val="009b7d71"/>
    <w:rPr/>
  </w:style>
  <w:style w:type="character" w:styleId="WW8Num5z5" w:customStyle="1">
    <w:name w:val="WW8Num5z5"/>
    <w:qFormat/>
    <w:rsid w:val="009b7d71"/>
    <w:rPr/>
  </w:style>
  <w:style w:type="character" w:styleId="WW8Num5z6" w:customStyle="1">
    <w:name w:val="WW8Num5z6"/>
    <w:qFormat/>
    <w:rsid w:val="009b7d71"/>
    <w:rPr/>
  </w:style>
  <w:style w:type="character" w:styleId="WW8Num5z7" w:customStyle="1">
    <w:name w:val="WW8Num5z7"/>
    <w:qFormat/>
    <w:rsid w:val="009b7d71"/>
    <w:rPr/>
  </w:style>
  <w:style w:type="character" w:styleId="WW8Num5z8" w:customStyle="1">
    <w:name w:val="WW8Num5z8"/>
    <w:qFormat/>
    <w:rsid w:val="009b7d71"/>
    <w:rPr/>
  </w:style>
  <w:style w:type="character" w:styleId="1" w:customStyle="1">
    <w:name w:val="Основной шрифт абзаца1"/>
    <w:qFormat/>
    <w:rsid w:val="009b7d71"/>
    <w:rPr/>
  </w:style>
  <w:style w:type="character" w:styleId="FontStyle19" w:customStyle="1">
    <w:name w:val="Font Style19"/>
    <w:qFormat/>
    <w:rsid w:val="009b7d71"/>
    <w:rPr>
      <w:rFonts w:ascii="Times New Roman" w:hAnsi="Times New Roman" w:eastAsia="Times New Roman" w:cs="Times New Roman"/>
      <w:b/>
      <w:bCs/>
      <w:sz w:val="24"/>
      <w:szCs w:val="24"/>
    </w:rPr>
  </w:style>
  <w:style w:type="character" w:styleId="S3" w:customStyle="1">
    <w:name w:val="s3"/>
    <w:qFormat/>
    <w:rsid w:val="009b7d71"/>
    <w:rPr/>
  </w:style>
  <w:style w:type="character" w:styleId="Style14" w:customStyle="1">
    <w:name w:val="Гіперпосилання"/>
    <w:rsid w:val="009b7d71"/>
    <w:rPr>
      <w:color w:val="000080"/>
      <w:u w:val="single"/>
    </w:rPr>
  </w:style>
  <w:style w:type="character" w:styleId="FontStyle12" w:customStyle="1">
    <w:name w:val="Font Style12"/>
    <w:qFormat/>
    <w:rsid w:val="009b7d71"/>
    <w:rPr>
      <w:rFonts w:ascii="Times New Roman" w:hAnsi="Times New Roman" w:cs="Times New Roman"/>
      <w:sz w:val="26"/>
      <w:szCs w:val="26"/>
    </w:rPr>
  </w:style>
  <w:style w:type="character" w:styleId="FontStyle51" w:customStyle="1">
    <w:name w:val="Font Style51"/>
    <w:qFormat/>
    <w:rsid w:val="009b7d71"/>
    <w:rPr>
      <w:rFonts w:ascii="Times New Roman" w:hAnsi="Times New Roman" w:cs="Times New Roman"/>
      <w:sz w:val="22"/>
      <w:szCs w:val="22"/>
    </w:rPr>
  </w:style>
  <w:style w:type="character" w:styleId="Appleconvertedspace" w:customStyle="1">
    <w:name w:val="apple-converted-space"/>
    <w:basedOn w:val="1"/>
    <w:qFormat/>
    <w:rsid w:val="009b7d71"/>
    <w:rPr/>
  </w:style>
  <w:style w:type="character" w:styleId="11" w:customStyle="1">
    <w:name w:val="Знак Знак1"/>
    <w:qFormat/>
    <w:rsid w:val="009b7d71"/>
    <w:rPr>
      <w:sz w:val="24"/>
      <w:szCs w:val="24"/>
    </w:rPr>
  </w:style>
  <w:style w:type="character" w:styleId="Style15" w:customStyle="1">
    <w:name w:val="Знак Знак"/>
    <w:qFormat/>
    <w:rsid w:val="009b7d71"/>
    <w:rPr>
      <w:sz w:val="24"/>
      <w:szCs w:val="24"/>
    </w:rPr>
  </w:style>
  <w:style w:type="character" w:styleId="Style16" w:customStyle="1">
    <w:name w:val="Виділення жирним"/>
    <w:qFormat/>
    <w:rsid w:val="009b7d71"/>
    <w:rPr>
      <w:b/>
      <w:bCs/>
    </w:rPr>
  </w:style>
  <w:style w:type="paragraph" w:styleId="Style17" w:customStyle="1">
    <w:name w:val="Заголовок"/>
    <w:basedOn w:val="Normal"/>
    <w:next w:val="Style18"/>
    <w:qFormat/>
    <w:rsid w:val="009b7d71"/>
    <w:pPr>
      <w:keepNext w:val="true"/>
      <w:spacing w:before="240" w:after="120"/>
    </w:pPr>
    <w:rPr>
      <w:rFonts w:ascii="Liberation Sans;Arial" w:hAnsi="Liberation Sans;Arial" w:eastAsia="Microsoft YaHei" w:cs="Mangal"/>
      <w:sz w:val="28"/>
      <w:szCs w:val="28"/>
    </w:rPr>
  </w:style>
  <w:style w:type="paragraph" w:styleId="Style18">
    <w:name w:val="Body Text"/>
    <w:basedOn w:val="Normal"/>
    <w:rsid w:val="009b7d71"/>
    <w:pPr>
      <w:spacing w:lineRule="auto" w:line="288" w:before="0" w:after="140"/>
    </w:pPr>
    <w:rPr/>
  </w:style>
  <w:style w:type="paragraph" w:styleId="Style19">
    <w:name w:val="List"/>
    <w:basedOn w:val="Style18"/>
    <w:rsid w:val="009b7d71"/>
    <w:pPr/>
    <w:rPr>
      <w:rFonts w:cs="Mangal"/>
    </w:rPr>
  </w:style>
  <w:style w:type="paragraph" w:styleId="Style20" w:customStyle="1">
    <w:name w:val="Caption"/>
    <w:basedOn w:val="Normal"/>
    <w:qFormat/>
    <w:rsid w:val="009b7d71"/>
    <w:pPr>
      <w:suppressLineNumbers/>
      <w:spacing w:before="120" w:after="120"/>
    </w:pPr>
    <w:rPr>
      <w:rFonts w:cs="Arial"/>
      <w:i/>
      <w:iCs/>
    </w:rPr>
  </w:style>
  <w:style w:type="paragraph" w:styleId="Style21" w:customStyle="1">
    <w:name w:val="Покажчик"/>
    <w:basedOn w:val="Normal"/>
    <w:qFormat/>
    <w:rsid w:val="009b7d71"/>
    <w:pPr>
      <w:suppressLineNumbers/>
    </w:pPr>
    <w:rPr>
      <w:rFonts w:cs="Arial"/>
    </w:rPr>
  </w:style>
  <w:style w:type="paragraph" w:styleId="Style22">
    <w:name w:val="Title"/>
    <w:basedOn w:val="Normal"/>
    <w:qFormat/>
    <w:rsid w:val="009b7d71"/>
    <w:pPr>
      <w:suppressLineNumbers/>
      <w:spacing w:before="120" w:after="120"/>
    </w:pPr>
    <w:rPr>
      <w:rFonts w:cs="Mangal"/>
      <w:i/>
      <w:iCs/>
    </w:rPr>
  </w:style>
  <w:style w:type="paragraph" w:styleId="Indexheading">
    <w:name w:val="index heading"/>
    <w:basedOn w:val="Normal"/>
    <w:qFormat/>
    <w:rsid w:val="009b7d71"/>
    <w:pPr>
      <w:suppressLineNumbers/>
    </w:pPr>
    <w:rPr>
      <w:rFonts w:cs="Mangal"/>
    </w:rPr>
  </w:style>
  <w:style w:type="paragraph" w:styleId="41" w:customStyle="1">
    <w:name w:val="Название4"/>
    <w:basedOn w:val="Normal"/>
    <w:qFormat/>
    <w:rsid w:val="009b7d71"/>
    <w:pPr>
      <w:suppressLineNumbers/>
      <w:spacing w:before="120" w:after="120"/>
    </w:pPr>
    <w:rPr>
      <w:rFonts w:cs="Mangal"/>
      <w:i/>
      <w:iCs/>
    </w:rPr>
  </w:style>
  <w:style w:type="paragraph" w:styleId="51" w:customStyle="1">
    <w:name w:val="Указатель5"/>
    <w:basedOn w:val="Normal"/>
    <w:qFormat/>
    <w:rsid w:val="009b7d71"/>
    <w:pPr>
      <w:suppressLineNumbers/>
    </w:pPr>
    <w:rPr>
      <w:rFonts w:cs="Mangal"/>
    </w:rPr>
  </w:style>
  <w:style w:type="paragraph" w:styleId="31" w:customStyle="1">
    <w:name w:val="Название3"/>
    <w:basedOn w:val="Normal"/>
    <w:qFormat/>
    <w:rsid w:val="009b7d71"/>
    <w:pPr>
      <w:suppressLineNumbers/>
      <w:spacing w:before="120" w:after="120"/>
    </w:pPr>
    <w:rPr>
      <w:rFonts w:cs="Mangal"/>
      <w:i/>
      <w:iCs/>
    </w:rPr>
  </w:style>
  <w:style w:type="paragraph" w:styleId="42" w:customStyle="1">
    <w:name w:val="Указатель4"/>
    <w:basedOn w:val="Normal"/>
    <w:qFormat/>
    <w:rsid w:val="009b7d71"/>
    <w:pPr>
      <w:suppressLineNumbers/>
    </w:pPr>
    <w:rPr>
      <w:rFonts w:cs="Mangal"/>
    </w:rPr>
  </w:style>
  <w:style w:type="paragraph" w:styleId="21" w:customStyle="1">
    <w:name w:val="Название2"/>
    <w:basedOn w:val="Normal"/>
    <w:qFormat/>
    <w:rsid w:val="009b7d71"/>
    <w:pPr>
      <w:suppressLineNumbers/>
      <w:spacing w:before="120" w:after="120"/>
    </w:pPr>
    <w:rPr>
      <w:rFonts w:cs="Mangal"/>
      <w:i/>
      <w:iCs/>
    </w:rPr>
  </w:style>
  <w:style w:type="paragraph" w:styleId="32" w:customStyle="1">
    <w:name w:val="Указатель3"/>
    <w:basedOn w:val="Normal"/>
    <w:qFormat/>
    <w:rsid w:val="009b7d71"/>
    <w:pPr>
      <w:suppressLineNumbers/>
    </w:pPr>
    <w:rPr>
      <w:rFonts w:cs="Mangal"/>
    </w:rPr>
  </w:style>
  <w:style w:type="paragraph" w:styleId="12" w:customStyle="1">
    <w:name w:val="Название1"/>
    <w:basedOn w:val="Normal"/>
    <w:qFormat/>
    <w:rsid w:val="009b7d71"/>
    <w:pPr>
      <w:suppressLineNumbers/>
      <w:spacing w:before="120" w:after="120"/>
    </w:pPr>
    <w:rPr>
      <w:rFonts w:cs="Mangal"/>
      <w:i/>
      <w:iCs/>
    </w:rPr>
  </w:style>
  <w:style w:type="paragraph" w:styleId="22" w:customStyle="1">
    <w:name w:val="Указатель2"/>
    <w:basedOn w:val="Normal"/>
    <w:qFormat/>
    <w:rsid w:val="009b7d71"/>
    <w:pPr>
      <w:suppressLineNumbers/>
    </w:pPr>
    <w:rPr>
      <w:rFonts w:cs="Mangal"/>
    </w:rPr>
  </w:style>
  <w:style w:type="paragraph" w:styleId="13" w:customStyle="1">
    <w:name w:val="Название объекта1"/>
    <w:basedOn w:val="Normal"/>
    <w:qFormat/>
    <w:rsid w:val="009b7d71"/>
    <w:pPr>
      <w:suppressLineNumbers/>
      <w:spacing w:before="120" w:after="120"/>
    </w:pPr>
    <w:rPr>
      <w:rFonts w:cs="Mangal"/>
      <w:i/>
      <w:iCs/>
    </w:rPr>
  </w:style>
  <w:style w:type="paragraph" w:styleId="14" w:customStyle="1">
    <w:name w:val="Указатель1"/>
    <w:basedOn w:val="Normal"/>
    <w:qFormat/>
    <w:rsid w:val="009b7d71"/>
    <w:pPr>
      <w:suppressLineNumbers/>
    </w:pPr>
    <w:rPr>
      <w:rFonts w:cs="Mangal"/>
    </w:rPr>
  </w:style>
  <w:style w:type="paragraph" w:styleId="BalloonText">
    <w:name w:val="Balloon Text"/>
    <w:basedOn w:val="Normal"/>
    <w:qFormat/>
    <w:rsid w:val="009b7d71"/>
    <w:pPr/>
    <w:rPr>
      <w:rFonts w:ascii="Tahoma" w:hAnsi="Tahoma" w:cs="Tahoma"/>
      <w:sz w:val="16"/>
      <w:szCs w:val="16"/>
    </w:rPr>
  </w:style>
  <w:style w:type="paragraph" w:styleId="Style91" w:customStyle="1">
    <w:name w:val="Style9"/>
    <w:basedOn w:val="Normal"/>
    <w:next w:val="Normal"/>
    <w:qFormat/>
    <w:rsid w:val="009b7d71"/>
    <w:pPr>
      <w:spacing w:lineRule="exact" w:line="317"/>
      <w:ind w:firstLine="806"/>
    </w:pPr>
    <w:rPr>
      <w:lang w:val="ru-RU"/>
    </w:rPr>
  </w:style>
  <w:style w:type="paragraph" w:styleId="P7" w:customStyle="1">
    <w:name w:val="p7"/>
    <w:basedOn w:val="Normal"/>
    <w:qFormat/>
    <w:rsid w:val="009b7d71"/>
    <w:pPr>
      <w:spacing w:before="280" w:after="280"/>
    </w:pPr>
    <w:rPr>
      <w:lang w:val="ru-RU"/>
    </w:rPr>
  </w:style>
  <w:style w:type="paragraph" w:styleId="P5" w:customStyle="1">
    <w:name w:val="p5"/>
    <w:basedOn w:val="Normal"/>
    <w:qFormat/>
    <w:rsid w:val="009b7d71"/>
    <w:pPr>
      <w:spacing w:before="280" w:after="280"/>
    </w:pPr>
    <w:rPr>
      <w:lang w:val="ru-RU"/>
    </w:rPr>
  </w:style>
  <w:style w:type="paragraph" w:styleId="P6" w:customStyle="1">
    <w:name w:val="p6"/>
    <w:basedOn w:val="Normal"/>
    <w:qFormat/>
    <w:rsid w:val="009b7d71"/>
    <w:pPr>
      <w:spacing w:before="280" w:after="280"/>
    </w:pPr>
    <w:rPr>
      <w:lang w:val="ru-RU"/>
    </w:rPr>
  </w:style>
  <w:style w:type="paragraph" w:styleId="Style23" w:customStyle="1">
    <w:name w:val="Содержимое таблицы"/>
    <w:basedOn w:val="Normal"/>
    <w:qFormat/>
    <w:rsid w:val="009b7d71"/>
    <w:pPr>
      <w:suppressLineNumbers/>
    </w:pPr>
    <w:rPr/>
  </w:style>
  <w:style w:type="paragraph" w:styleId="Style24" w:customStyle="1">
    <w:name w:val="Заголовок таблицы"/>
    <w:basedOn w:val="Style23"/>
    <w:qFormat/>
    <w:rsid w:val="009b7d71"/>
    <w:pPr>
      <w:jc w:val="center"/>
    </w:pPr>
    <w:rPr>
      <w:b/>
      <w:bCs/>
    </w:rPr>
  </w:style>
  <w:style w:type="paragraph" w:styleId="Style25" w:customStyle="1">
    <w:name w:val="Верхній і нижній колонтитули"/>
    <w:basedOn w:val="Normal"/>
    <w:qFormat/>
    <w:rsid w:val="009b7d71"/>
    <w:pPr>
      <w:suppressLineNumbers/>
      <w:tabs>
        <w:tab w:val="clear" w:pos="720"/>
        <w:tab w:val="center" w:pos="4819" w:leader="none"/>
        <w:tab w:val="right" w:pos="9638" w:leader="none"/>
      </w:tabs>
    </w:pPr>
    <w:rPr/>
  </w:style>
  <w:style w:type="paragraph" w:styleId="Style26" w:customStyle="1">
    <w:name w:val="Header"/>
    <w:basedOn w:val="Normal"/>
    <w:rsid w:val="009b7d71"/>
    <w:pPr>
      <w:tabs>
        <w:tab w:val="clear" w:pos="720"/>
        <w:tab w:val="center" w:pos="4819" w:leader="none"/>
        <w:tab w:val="right" w:pos="9639" w:leader="none"/>
      </w:tabs>
    </w:pPr>
    <w:rPr/>
  </w:style>
  <w:style w:type="paragraph" w:styleId="Style27" w:customStyle="1">
    <w:name w:val="Footer"/>
    <w:basedOn w:val="Normal"/>
    <w:rsid w:val="009b7d71"/>
    <w:pPr>
      <w:tabs>
        <w:tab w:val="clear" w:pos="720"/>
        <w:tab w:val="center" w:pos="4819" w:leader="none"/>
        <w:tab w:val="right" w:pos="9639" w:leader="none"/>
      </w:tabs>
    </w:pPr>
    <w:rPr/>
  </w:style>
  <w:style w:type="paragraph" w:styleId="Style28" w:customStyle="1">
    <w:name w:val="Вміст таблиці"/>
    <w:basedOn w:val="Normal"/>
    <w:qFormat/>
    <w:rsid w:val="009b7d71"/>
    <w:pPr>
      <w:suppressLineNumbers/>
    </w:pPr>
    <w:rPr/>
  </w:style>
  <w:style w:type="paragraph" w:styleId="Style29" w:customStyle="1">
    <w:name w:val="Заголовок таблиці"/>
    <w:basedOn w:val="Style28"/>
    <w:qFormat/>
    <w:rsid w:val="009b7d71"/>
    <w:pPr>
      <w:jc w:val="center"/>
    </w:pPr>
    <w:rPr>
      <w:b/>
      <w:bCs/>
    </w:rPr>
  </w:style>
  <w:style w:type="paragraph" w:styleId="Western" w:customStyle="1">
    <w:name w:val="western"/>
    <w:basedOn w:val="Normal"/>
    <w:qFormat/>
    <w:rsid w:val="00e71823"/>
    <w:pPr>
      <w:suppressAutoHyphens w:val="false"/>
      <w:spacing w:beforeAutospacing="1" w:afterAutospacing="1"/>
      <w:jc w:val="both"/>
    </w:pPr>
    <w:rPr>
      <w:color w:val="000000"/>
      <w:sz w:val="28"/>
      <w:szCs w:val="28"/>
      <w:lang w:eastAsia="uk-UA"/>
    </w:rPr>
  </w:style>
  <w:style w:type="paragraph" w:styleId="NormalWeb">
    <w:name w:val="Normal (Web)"/>
    <w:basedOn w:val="Normal"/>
    <w:uiPriority w:val="99"/>
    <w:semiHidden/>
    <w:unhideWhenUsed/>
    <w:qFormat/>
    <w:rsid w:val="00673fd5"/>
    <w:pPr>
      <w:suppressAutoHyphens w:val="false"/>
      <w:spacing w:beforeAutospacing="1" w:afterAutospacing="1"/>
      <w:jc w:val="both"/>
    </w:pPr>
    <w:rPr>
      <w:color w:val="000000"/>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lmr@lutskrada.gov.u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D48F-1D6A-4B91-9EC4-C1DBB933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LibreOffice/7.1.5.2$Windows_X86_64 LibreOffice_project/85f04e9f809797b8199d13c421bd8a2b025d52b5</Application>
  <AppVersion>15.0000</AppVersion>
  <Pages>8</Pages>
  <Words>1646</Words>
  <Characters>11943</Characters>
  <CharactersWithSpaces>13625</CharactersWithSpaces>
  <Paragraphs>198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2019-04-16T12:59:00Z</dcterms:created>
  <dc:creator>WORK</dc:creator>
  <dc:description/>
  <dc:language>uk-UA</dc:language>
  <cp:lastModifiedBy/>
  <cp:lastPrinted>1995-11-21T17:41:00Z</cp:lastPrinted>
  <dcterms:modified xsi:type="dcterms:W3CDTF">2021-09-09T16:16:57Z</dcterms:modified>
  <cp:revision>407</cp:revision>
  <dc:subject/>
  <dc:title>Аналіз регуляторного впливу</dc:title>
</cp:coreProperties>
</file>

<file path=docProps/custom.xml><?xml version="1.0" encoding="utf-8"?>
<Properties xmlns="http://schemas.openxmlformats.org/officeDocument/2006/custom-properties" xmlns:vt="http://schemas.openxmlformats.org/officeDocument/2006/docPropsVTypes"/>
</file>