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tabs>
          <w:tab w:val="clear" w:pos="1134"/>
          <w:tab w:val="left" w:pos="570" w:leader="none"/>
        </w:tabs>
        <w:bidi w:val="0"/>
        <w:ind w:left="0" w:right="0" w:firstLine="567"/>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30.03.2023</w:t>
      </w:r>
      <w:r>
        <w:rPr>
          <w:rFonts w:ascii="Times New Roman" w:hAnsi="Times New Roman"/>
          <w:b w:val="false"/>
          <w:i w:val="false"/>
          <w:caps w:val="false"/>
          <w:smallCaps w:val="false"/>
          <w:color w:val="050505"/>
          <w:spacing w:val="0"/>
          <w:sz w:val="28"/>
          <w:szCs w:val="28"/>
        </w:rPr>
        <w:t xml:space="preserve"> відбулося навчання за короткостроковою програмою “Фінансовий контроль як інструмент антикорупційної політики. Електронне декларування” для посадових осіб місцевого самоврядування, депутатів Луцької міської ради, уповноважених осіб з питань запобігання та виявлення корупції підприємств, організацій (установ, закладів), що належать до комунальної власності міської територіальної громади.</w:t>
      </w:r>
    </w:p>
    <w:p>
      <w:pPr>
        <w:pStyle w:val="Normal"/>
        <w:widowControl/>
        <w:ind w:left="0" w:right="0" w:hanging="0"/>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 xml:space="preserve">     </w:t>
      </w:r>
      <w:r>
        <w:rPr>
          <w:rFonts w:ascii="Times New Roman" w:hAnsi="Times New Roman"/>
          <w:b w:val="false"/>
          <w:i w:val="false"/>
          <w:caps w:val="false"/>
          <w:smallCaps w:val="false"/>
          <w:color w:val="050505"/>
          <w:spacing w:val="0"/>
          <w:sz w:val="28"/>
          <w:szCs w:val="28"/>
        </w:rPr>
        <w:t>На початку зустрічі начальник відділу з питань запобігання та виявлення корупції управління персоналу Луцької міської ради Олександр Романюк поінформував присутніх, що декларування публічними службовцями у період воєнного стану добровільне. Водночас з осені 2022 року у Верховній Раді України очікує голосування законопроєкт про відновлення декларування. Крім того, нещодавно Президент України публічно відповів на петицію про відновлення декларування. Міжнародна спільнота також надала свої рекомендації відновити декларування, перевірки декларацій та інші заходи фінансового контролю. Відповідно, Олександр Романюк, рекомендував присутнім забезпечити виконання положень Закону України «Про запобігання корупції» в частині подання суб’єктами декларування декларацій осіб, уповноважених на виконання функцій держави або місцевого самоврядування за 2021- 2022 роки.</w:t>
      </w:r>
    </w:p>
    <w:p>
      <w:pPr>
        <w:pStyle w:val="Normal"/>
        <w:widowControl/>
        <w:ind w:left="0" w:right="0" w:hanging="0"/>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 xml:space="preserve">    </w:t>
      </w:r>
      <w:r>
        <w:rPr>
          <w:rFonts w:ascii="Times New Roman" w:hAnsi="Times New Roman"/>
          <w:b w:val="false"/>
          <w:i w:val="false"/>
          <w:caps w:val="false"/>
          <w:smallCaps w:val="false"/>
          <w:color w:val="050505"/>
          <w:spacing w:val="0"/>
          <w:sz w:val="28"/>
          <w:szCs w:val="28"/>
        </w:rPr>
        <w:t>У свою чергу спікер зустрічі Інна Міщук, надала роз’яснення щодо вимог фінансового контролю та майнового стану, типових помилок при заповненні декларації. Також, до відома присутніх довела новації в антикорупційному законодавстві.</w:t>
      </w:r>
    </w:p>
    <w:p>
      <w:pPr>
        <w:pStyle w:val="Normal"/>
        <w:widowControl/>
        <w:ind w:left="0" w:right="0" w:hanging="0"/>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 xml:space="preserve">       </w:t>
      </w:r>
      <w:r>
        <w:rPr>
          <w:rFonts w:ascii="Times New Roman" w:hAnsi="Times New Roman"/>
          <w:b w:val="false"/>
          <w:i w:val="false"/>
          <w:caps w:val="false"/>
          <w:smallCaps w:val="false"/>
          <w:color w:val="050505"/>
          <w:spacing w:val="0"/>
          <w:sz w:val="28"/>
          <w:szCs w:val="28"/>
        </w:rPr>
        <w:t>По завершенню навчання акцентовано на відповідальності за подання завідомо недостовірних відомостей або умисне неподання декларацій осіб, уповноважених на виконання функцій держави або місцевого самоврядування, також наголошено на правильності та повноті подачі, враховуючи усі рекомендації щодо застосування антикорупційних норм під час заповнення декларації.</w:t>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2">
            <wp:simplePos x="0" y="0"/>
            <wp:positionH relativeFrom="column">
              <wp:posOffset>10795</wp:posOffset>
            </wp:positionH>
            <wp:positionV relativeFrom="paragraph">
              <wp:posOffset>8255</wp:posOffset>
            </wp:positionV>
            <wp:extent cx="4931410" cy="3286760"/>
            <wp:effectExtent l="0" t="0" r="0" b="0"/>
            <wp:wrapSquare wrapText="largest"/>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stretch>
                      <a:fillRect/>
                    </a:stretch>
                  </pic:blipFill>
                  <pic:spPr bwMode="auto">
                    <a:xfrm>
                      <a:off x="0" y="0"/>
                      <a:ext cx="4931410" cy="3286760"/>
                    </a:xfrm>
                    <a:prstGeom prst="rect">
                      <a:avLst/>
                    </a:prstGeom>
                  </pic:spPr>
                </pic:pic>
              </a:graphicData>
            </a:graphic>
          </wp:anchor>
        </w:drawing>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4">
            <wp:simplePos x="0" y="0"/>
            <wp:positionH relativeFrom="column">
              <wp:posOffset>0</wp:posOffset>
            </wp:positionH>
            <wp:positionV relativeFrom="paragraph">
              <wp:posOffset>27940</wp:posOffset>
            </wp:positionV>
            <wp:extent cx="6477000" cy="4316730"/>
            <wp:effectExtent l="0" t="0" r="0" b="0"/>
            <wp:wrapSquare wrapText="largest"/>
            <wp:docPr id="2"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3" descr=""/>
                    <pic:cNvPicPr>
                      <a:picLocks noChangeAspect="1" noChangeArrowheads="1"/>
                    </pic:cNvPicPr>
                  </pic:nvPicPr>
                  <pic:blipFill>
                    <a:blip r:embed="rId3"/>
                    <a:stretch>
                      <a:fillRect/>
                    </a:stretch>
                  </pic:blipFill>
                  <pic:spPr bwMode="auto">
                    <a:xfrm>
                      <a:off x="0" y="0"/>
                      <a:ext cx="6477000" cy="4316730"/>
                    </a:xfrm>
                    <a:prstGeom prst="rect">
                      <a:avLst/>
                    </a:prstGeom>
                  </pic:spPr>
                </pic:pic>
              </a:graphicData>
            </a:graphic>
          </wp:anchor>
        </w:drawing>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3">
            <wp:simplePos x="0" y="0"/>
            <wp:positionH relativeFrom="column">
              <wp:posOffset>302260</wp:posOffset>
            </wp:positionH>
            <wp:positionV relativeFrom="paragraph">
              <wp:posOffset>201295</wp:posOffset>
            </wp:positionV>
            <wp:extent cx="6125210" cy="4082415"/>
            <wp:effectExtent l="0" t="0" r="0" b="0"/>
            <wp:wrapSquare wrapText="largest"/>
            <wp:docPr id="3"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 descr=""/>
                    <pic:cNvPicPr>
                      <a:picLocks noChangeAspect="1" noChangeArrowheads="1"/>
                    </pic:cNvPicPr>
                  </pic:nvPicPr>
                  <pic:blipFill>
                    <a:blip r:embed="rId4"/>
                    <a:stretch>
                      <a:fillRect/>
                    </a:stretch>
                  </pic:blipFill>
                  <pic:spPr bwMode="auto">
                    <a:xfrm>
                      <a:off x="0" y="0"/>
                      <a:ext cx="6125210" cy="4082415"/>
                    </a:xfrm>
                    <a:prstGeom prst="rect">
                      <a:avLst/>
                    </a:prstGeom>
                  </pic:spPr>
                </pic:pic>
              </a:graphicData>
            </a:graphic>
          </wp:anchor>
        </w:drawing>
      </w:r>
    </w:p>
    <w:p>
      <w:pPr>
        <w:pStyle w:val="Normal"/>
        <w:widowControl/>
        <w:tabs>
          <w:tab w:val="clear" w:pos="1134"/>
          <w:tab w:val="left" w:pos="570" w:leader="none"/>
        </w:tabs>
        <w:bidi w:val="0"/>
        <w:ind w:left="0" w:right="0" w:firstLine="567"/>
        <w:jc w:val="both"/>
        <w:rPr>
          <w:rFonts w:ascii="Times New Roman" w:hAnsi="Times New Roman"/>
          <w:sz w:val="28"/>
          <w:szCs w:val="28"/>
        </w:rPr>
      </w:pPr>
      <w:r>
        <w:rPr/>
      </w:r>
    </w:p>
    <w:sectPr>
      <w:type w:val="nextPage"/>
      <w:pgSz w:w="11906" w:h="16838"/>
      <w:pgMar w:left="1134" w:right="572"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1134"/>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egoe UI" w:cs="Tahoma"/>
        <w:color w:val="000000"/>
        <w:sz w:val="24"/>
        <w:szCs w:val="24"/>
        <w:lang w:val="uk-UA"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Segoe UI" w:cs="Tahoma"/>
      <w:color w:val="000000"/>
      <w:kern w:val="0"/>
      <w:sz w:val="24"/>
      <w:szCs w:val="24"/>
      <w:lang w:val="uk-UA" w:eastAsia="zh-CN" w:bidi="hi-IN"/>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283"/>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Покажчик"/>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19</TotalTime>
  <Application>LibreOffice/7.2.3.2$Windows_X86_64 LibreOffice_project/d166454616c1632304285822f9c83ce2e660fd92</Application>
  <AppVersion>15.0000</AppVersion>
  <Pages>3</Pages>
  <Words>218</Words>
  <Characters>1639</Characters>
  <CharactersWithSpaces>1869</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2024-04-15T16:11:59Z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