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center"/>
        <w:rPr/>
      </w:pPr>
      <w:bookmarkStart w:id="0" w:name="__DdeLink__6131_1532081651"/>
      <w:r>
        <w:rPr>
          <w:rFonts w:eastAsia="Courier New" w:cs="Times New Roman"/>
          <w:b w:val="false"/>
          <w:bCs w:val="false"/>
          <w:color w:val="000000"/>
          <w:sz w:val="28"/>
          <w:szCs w:val="28"/>
          <w:highlight w:val="white"/>
          <w:lang w:val="uk-UA"/>
        </w:rPr>
        <w:t>Інформація про кількість рядків у відомостях щомісячного поновлення, поданих у І півріччі 2021 року</w:t>
      </w:r>
      <w:bookmarkEnd w:id="0"/>
    </w:p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ind w:left="0" w:right="0" w:hanging="0"/>
        <w:jc w:val="center"/>
        <w:rPr>
          <w:rFonts w:ascii="Times New Roman" w:hAnsi="Times New Roman" w:eastAsia="Courier New" w:cs="Times New Roman"/>
          <w:b/>
          <w:b/>
          <w:bCs/>
          <w:color w:val="000000"/>
          <w:sz w:val="28"/>
          <w:szCs w:val="28"/>
          <w:highlight w:val="white"/>
          <w:lang w:val="uk-UA"/>
        </w:rPr>
      </w:pPr>
      <w:r>
        <w:rPr>
          <w:rFonts w:eastAsia="Courier New" w:cs="Times New Roman"/>
          <w:b/>
          <w:bCs/>
          <w:color w:val="000000"/>
          <w:sz w:val="28"/>
          <w:szCs w:val="28"/>
          <w:highlight w:val="white"/>
          <w:lang w:val="uk-UA"/>
        </w:rPr>
      </w:r>
    </w:p>
    <w:tbl>
      <w:tblPr>
        <w:tblW w:w="9915" w:type="dxa"/>
        <w:jc w:val="left"/>
        <w:tblInd w:w="-253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483"/>
        <w:gridCol w:w="6077"/>
        <w:gridCol w:w="1"/>
        <w:gridCol w:w="1354"/>
      </w:tblGrid>
      <w:tr>
        <w:trPr/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Суб’єкт подання</w:t>
            </w:r>
          </w:p>
        </w:tc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Відомості про: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Кількість рядків у відомостях</w:t>
            </w:r>
          </w:p>
        </w:tc>
      </w:tr>
      <w:tr>
        <w:trPr/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napToGrid w:val="false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Луцький міський  відділ  Управління  Державної міграційної  служби України  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у Волинській обл.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/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highlight w:val="white"/>
                <w:lang w:val="uk-UA"/>
              </w:rPr>
              <w:t>0</w:t>
            </w:r>
          </w:p>
        </w:tc>
      </w:tr>
      <w:tr>
        <w:trPr>
          <w:trHeight w:val="912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u w:val="none"/>
                <w:lang w:val="uk-UA" w:eastAsia="zxx" w:bidi="zxx"/>
              </w:rPr>
              <w:t>480</w:t>
            </w:r>
          </w:p>
        </w:tc>
      </w:tr>
      <w:tr>
        <w:trPr>
          <w:trHeight w:val="932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  <w:t>3</w:t>
            </w:r>
          </w:p>
        </w:tc>
      </w:tr>
      <w:tr>
        <w:trPr>
          <w:trHeight w:val="946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>І півріччя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u w:val="none"/>
                <w:lang w:val="uk-UA" w:eastAsia="zxx" w:bidi="zxx"/>
              </w:rPr>
              <w:t>911</w:t>
            </w:r>
          </w:p>
        </w:tc>
      </w:tr>
      <w:tr>
        <w:trPr>
          <w:trHeight w:val="915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  <w:t>8</w:t>
            </w:r>
          </w:p>
        </w:tc>
      </w:tr>
      <w:tr>
        <w:trPr>
          <w:trHeight w:val="884" w:hRule="atLeast"/>
        </w:trPr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Луцький </w:t>
            </w: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районний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616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  <w:t>10</w:t>
            </w:r>
          </w:p>
        </w:tc>
      </w:tr>
      <w:tr>
        <w:trPr>
          <w:trHeight w:val="915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29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 xml:space="preserve">І півріччя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64</w:t>
            </w:r>
          </w:p>
        </w:tc>
      </w:tr>
      <w:tr>
        <w:trPr>
          <w:trHeight w:val="946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Рожищенський </w:t>
            </w: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районний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>і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587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23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</w:tc>
      </w:tr>
      <w:tr>
        <w:trPr>
          <w:trHeight w:val="895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57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 xml:space="preserve">І півріччя </w:t>
            </w:r>
            <w:r>
              <w:rPr>
                <w:rFonts w:eastAsia="Courier New" w:cs="Courier New"/>
                <w:b w:val="false"/>
                <w:bCs w:val="false"/>
                <w:i/>
                <w:i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4" w:hRule="atLeast"/>
        </w:trPr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bidi w:val="0"/>
              <w:snapToGrid w:val="false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районний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відділ Управління Державної міграційної служби України у Волинській області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осіб, які набули громадянство України та отримали тимчасове посвідчення громадянина України або паспорт громадянина України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громадянство України яких припинено протягом попереднього місяця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60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прізвища, імені, по батькові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отримали паспорт громадянина України у зв'язку із зміною дати або місця народження</w:t>
            </w: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-6"/>
                <w:sz w:val="24"/>
                <w:szCs w:val="24"/>
                <w:highlight w:val="white"/>
                <w:u w:val="none"/>
                <w:lang w:val="uk-UA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>
          <w:trHeight w:val="956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 xml:space="preserve">І півріччя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36</w:t>
            </w:r>
          </w:p>
        </w:tc>
      </w:tr>
      <w:tr>
        <w:trPr>
          <w:trHeight w:val="900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8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оформлено паспорт вперше після 18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highlight w:val="white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widowControl/>
              <w:snapToGrid w:val="false"/>
              <w:spacing w:lineRule="atLeast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</w:r>
          </w:p>
          <w:p>
            <w:pPr>
              <w:pStyle w:val="Normal"/>
              <w:widowControl/>
              <w:spacing w:lineRule="atLeast" w:line="240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Департамент державної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/>
              </w:rPr>
              <w:t xml:space="preserve"> реєстрації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 xml:space="preserve"> Луцької міської ради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>громадян України, зареєстрованих за місцем проживання у відповідній адміністративно-територіальній одиниці, яким протягом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h-CN" w:bidi="hi-IN"/>
              </w:rPr>
              <w:t xml:space="preserve">І півріччя 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202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1</w:t>
            </w: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 xml:space="preserve"> року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виповни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uk-UA"/>
              </w:rPr>
              <w:t>лось</w:t>
            </w: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</w:rPr>
              <w:t xml:space="preserve"> 18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uk-UA" w:eastAsia="zxx" w:bidi="zxx"/>
              </w:rPr>
              <w:t>1079</w:t>
            </w:r>
          </w:p>
        </w:tc>
      </w:tr>
      <w:tr>
        <w:trPr/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зареєстрували своє місце проживання у відповідній адміністративно-територіальній одиниці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u w:val="none"/>
                <w:lang w:val="uk-UA" w:eastAsia="zxx" w:bidi="zxx"/>
              </w:rPr>
              <w:t>1930</w:t>
            </w:r>
          </w:p>
        </w:tc>
      </w:tr>
      <w:tr>
        <w:trPr>
          <w:trHeight w:val="672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зняті з реєстрації за місцем проживання у відповідній адміністративно-територіальній одиниці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4224</w:t>
            </w:r>
          </w:p>
        </w:tc>
      </w:tr>
      <w:tr>
        <w:trPr>
          <w:trHeight w:val="938" w:hRule="atLeast"/>
        </w:trPr>
        <w:tc>
          <w:tcPr>
            <w:tcW w:w="2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Відділ Державної реєстрації актів цивільного стану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bookmarkStart w:id="1" w:name="__DdeLink__2943_1067230251"/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смерть яких зареєстровано протягом попереднього місяця</w:t>
            </w:r>
            <w:bookmarkEnd w:id="1"/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1263</w:t>
            </w:r>
          </w:p>
        </w:tc>
      </w:tr>
      <w:tr>
        <w:trPr>
          <w:trHeight w:val="938" w:hRule="atLeast"/>
        </w:trPr>
        <w:tc>
          <w:tcPr>
            <w:tcW w:w="2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/>
              <w:t xml:space="preserve">МінЮст (ДРАЦС) </w:t>
            </w:r>
            <w:r>
              <w:rPr>
                <w:sz w:val="18"/>
                <w:szCs w:val="18"/>
              </w:rPr>
              <w:t>(</w:t>
            </w:r>
            <w:r>
              <w:rPr>
                <w:caps w:val="false"/>
                <w:smallCaps w:val="false"/>
                <w:color w:val="333333"/>
                <w:spacing w:val="0"/>
                <w:sz w:val="18"/>
                <w:szCs w:val="18"/>
              </w:rPr>
              <w:t>в</w:t>
            </w:r>
            <w:r>
              <w:rPr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18"/>
              </w:rPr>
              <w:t>заємодія із Державним реєстром актів цивільного стану на центральному рівні в електронному вигляді</w:t>
            </w:r>
            <w:r>
              <w:rPr>
                <w:rFonts w:cs="Open Sans;Helvetica Neue" w:ascii="Open Sans;Helvetica Neue" w:hAnsi="Open Sans;Helvetica Neue"/>
                <w:b w:val="false"/>
                <w:i w:val="false"/>
                <w:caps w:val="false"/>
                <w:smallCaps w:val="false"/>
                <w:color w:val="333333"/>
                <w:spacing w:val="0"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auto"/>
                <w:sz w:val="24"/>
                <w:szCs w:val="24"/>
              </w:rPr>
              <w:t xml:space="preserve">виборців, смерть яких зареєстровано протягом попереднього </w:t>
            </w:r>
            <w:r>
              <w:rPr>
                <w:rFonts w:eastAsia="Arial Unicode MS" w:cs="Tahoma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  <w:t>дня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  <w:t>931</w:t>
            </w:r>
          </w:p>
        </w:tc>
      </w:tr>
      <w:tr>
        <w:trPr>
          <w:trHeight w:val="1144" w:hRule="atLeast"/>
        </w:trPr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1141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u w:val="none"/>
                <w:lang w:val="uk-UA" w:eastAsia="zxx" w:bidi="zxx"/>
              </w:rPr>
              <w:t>34</w:t>
            </w:r>
          </w:p>
        </w:tc>
      </w:tr>
      <w:tr>
        <w:trPr>
          <w:trHeight w:val="855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u w:val="none"/>
                <w:lang w:val="uk-UA" w:eastAsia="zxx" w:bidi="zxx"/>
              </w:rPr>
              <w:t>47</w:t>
            </w:r>
          </w:p>
        </w:tc>
      </w:tr>
      <w:tr>
        <w:trPr>
          <w:trHeight w:val="925" w:hRule="atLeast"/>
        </w:trPr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Військова частина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А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en-US"/>
              </w:rPr>
              <w:t>0959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прибули для проходження служби у цій військовій частині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  <w:t>13</w:t>
            </w:r>
          </w:p>
        </w:tc>
      </w:tr>
      <w:tr>
        <w:trPr>
          <w:trHeight w:val="949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 - військовослужбовців строкової служби, які протягом попереднього місяця вибули з території дислокації цієї військової частини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35</w:t>
            </w:r>
          </w:p>
        </w:tc>
      </w:tr>
      <w:tr>
        <w:trPr>
          <w:trHeight w:val="653" w:hRule="atLeast"/>
        </w:trPr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слідчий ізолятор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виборців, які протягом попереднього місяця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uk-UA"/>
              </w:rPr>
              <w:t>прибули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для відбування покарання до цієї установи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5</w:t>
            </w:r>
          </w:p>
        </w:tc>
      </w:tr>
      <w:tr>
        <w:trPr/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відбували покарання і протягом попереднього місяця вибули з цієї установи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kern w:val="2"/>
                <w:sz w:val="24"/>
                <w:szCs w:val="24"/>
                <w:lang w:val="uk-UA" w:eastAsia="zxx" w:bidi="zxx"/>
              </w:rPr>
              <w:t>2</w:t>
            </w:r>
          </w:p>
        </w:tc>
      </w:tr>
      <w:tr>
        <w:trPr/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громадян України, які відбувають покарання та яким протягом наступного місяця виповниться 18 років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міськрайонний суд</w:t>
            </w:r>
          </w:p>
        </w:tc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  <w:t>5</w:t>
            </w:r>
          </w:p>
        </w:tc>
      </w:tr>
      <w:tr>
        <w:trPr/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3" w:type="dxa"/>
            <w:vMerge w:val="continue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>
        <w:trPr>
          <w:trHeight w:val="388" w:hRule="atLeast"/>
        </w:trPr>
        <w:tc>
          <w:tcPr>
            <w:tcW w:w="2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snapToGrid w:val="false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Рожищенський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Style27"/>
              <w:snapToGrid w:val="false"/>
              <w:jc w:val="left"/>
              <w:rPr>
                <w:rFonts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</w:r>
          </w:p>
          <w:p>
            <w:pPr>
              <w:pStyle w:val="Style27"/>
              <w:jc w:val="left"/>
              <w:rPr/>
            </w:pPr>
            <w:r>
              <w:rPr>
                <w:rFonts w:eastAsia="Lucida Sans Unicode" w:cs="Times New Roman"/>
                <w:b w:val="false"/>
                <w:bCs w:val="false"/>
                <w:color w:val="000000"/>
                <w:sz w:val="24"/>
                <w:szCs w:val="24"/>
                <w:lang w:val="uk-UA" w:eastAsia="en-US" w:bidi="en-US"/>
              </w:rPr>
              <w:t>Ківерцівський</w:t>
            </w:r>
            <w:r>
              <w:rPr>
                <w:rFonts w:cs="Times New Roman"/>
                <w:b w:val="false"/>
                <w:bCs w:val="false"/>
                <w:color w:val="000000"/>
                <w:sz w:val="24"/>
                <w:szCs w:val="24"/>
                <w:lang w:val="uk-UA"/>
              </w:rPr>
              <w:t xml:space="preserve"> районний суд Волинської області</w:t>
            </w:r>
          </w:p>
        </w:tc>
        <w:tc>
          <w:tcPr>
            <w:tcW w:w="6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які протягом попереднього місяця були визнані недієздатними</w:t>
            </w:r>
          </w:p>
        </w:tc>
        <w:tc>
          <w:tcPr>
            <w:tcW w:w="135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осіб, щодо яких протягом попереднього місяця було скасовано рішення про визнання їх недієздатними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>
          <w:trHeight w:val="388" w:hRule="atLeast"/>
        </w:trPr>
        <w:tc>
          <w:tcPr>
            <w:tcW w:w="248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</w:rPr>
              <w:t>продовження строку недієздатності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Територіальний центр </w:t>
            </w:r>
            <w:r>
              <w:rPr>
                <w:b w:val="false"/>
                <w:bCs w:val="false"/>
                <w:color w:val="000000"/>
                <w:sz w:val="24"/>
                <w:szCs w:val="24"/>
                <w:lang w:val="en-US"/>
              </w:rPr>
              <w:t>соціального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 xml:space="preserve"> обслуговування (надання соціальних послуг) м.Луцька 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ab/>
              <w:tab/>
              <w:tab/>
              <w:tab/>
              <w:tab/>
              <w:tab/>
              <w:t xml:space="preserve">   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000000"/>
                <w:sz w:val="24"/>
                <w:szCs w:val="24"/>
                <w:lang w:val="uk-UA"/>
              </w:rPr>
            </w:pPr>
            <w:r>
              <w:rPr>
                <w:rFonts w:eastAsia="Courier New" w:cs="Courier New"/>
                <w:b w:val="false"/>
                <w:bCs w:val="false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2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Луцький геріатричний пансіонат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lang w:val="uk-UA" w:eastAsia="zxx" w:bidi="zxx"/>
              </w:rPr>
              <w:t>0</w:t>
            </w:r>
          </w:p>
        </w:tc>
      </w:tr>
      <w:tr>
        <w:trPr/>
        <w:tc>
          <w:tcPr>
            <w:tcW w:w="248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Управління охорони здоров’я</w:t>
            </w:r>
          </w:p>
        </w:tc>
        <w:tc>
          <w:tcPr>
            <w:tcW w:w="6077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left"/>
              <w:rPr>
                <w:b w:val="false"/>
                <w:b w:val="false"/>
                <w:bCs w:val="false"/>
                <w:color w:val="000000"/>
                <w:sz w:val="24"/>
                <w:szCs w:val="24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</w:rPr>
              <w:t>виборців, щодо яких протягом попереднього місяця встановлено постійну нездатність пересуватися самостійно</w:t>
            </w:r>
          </w:p>
        </w:tc>
        <w:tc>
          <w:tcPr>
            <w:tcW w:w="135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Courier New" w:cs="Courier New"/>
                <w:b w:val="false"/>
                <w:b w:val="false"/>
                <w:bCs w:val="false"/>
                <w:color w:val="auto"/>
                <w:kern w:val="2"/>
                <w:sz w:val="24"/>
                <w:szCs w:val="24"/>
                <w:u w:val="none"/>
                <w:lang w:val="uk-UA" w:eastAsia="zxx" w:bidi="zxx"/>
              </w:rPr>
            </w:pPr>
            <w:r>
              <w:rPr>
                <w:rFonts w:eastAsia="Courier New" w:cs="Courier New"/>
                <w:b w:val="false"/>
                <w:bCs w:val="false"/>
                <w:color w:val="auto"/>
                <w:kern w:val="2"/>
                <w:sz w:val="24"/>
                <w:szCs w:val="24"/>
                <w:u w:val="none"/>
                <w:lang w:val="uk-UA" w:eastAsia="zxx" w:bidi="zxx"/>
              </w:rPr>
              <w:t>60</w:t>
            </w:r>
          </w:p>
        </w:tc>
      </w:tr>
      <w:tr>
        <w:trPr>
          <w:trHeight w:val="583" w:hRule="atLeast"/>
        </w:trPr>
        <w:tc>
          <w:tcPr>
            <w:tcW w:w="8561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fill="auto" w:val="clear"/>
          </w:tcPr>
          <w:p>
            <w:pPr>
              <w:pStyle w:val="Normal"/>
              <w:ind w:left="0" w:right="0" w:hanging="0"/>
              <w:jc w:val="both"/>
              <w:rPr>
                <w:b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/>
              </w:rPr>
              <w:t>Всього рядків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Style28"/>
              <w:suppressLineNumbers/>
              <w:ind w:left="0" w:right="0" w:hanging="0"/>
              <w:jc w:val="center"/>
              <w:rPr>
                <w:rFonts w:eastAsia="NSimSun" w:cs="Arial"/>
                <w:b/>
                <w:b/>
                <w:bCs/>
                <w:color w:val="auto"/>
                <w:kern w:val="2"/>
                <w:sz w:val="24"/>
                <w:szCs w:val="24"/>
                <w:lang w:val="uk-UA" w:eastAsia="zh-CN" w:bidi="hi-IN"/>
              </w:rPr>
            </w:pPr>
            <w:r>
              <w:rPr>
                <w:rFonts w:eastAsia="NSimSun" w:cs="Arial"/>
                <w:b/>
                <w:bCs/>
                <w:color w:val="auto"/>
                <w:kern w:val="2"/>
                <w:sz w:val="24"/>
                <w:szCs w:val="24"/>
                <w:lang w:val="uk-UA" w:eastAsia="zh-CN" w:bidi="hi-IN"/>
              </w:rPr>
              <w:t>11070</w:t>
            </w:r>
          </w:p>
        </w:tc>
      </w:tr>
    </w:tbl>
    <w:p>
      <w:pPr>
        <w:pStyle w:val="Normal"/>
        <w:widowControl/>
        <w:bidi w:val="0"/>
        <w:jc w:val="both"/>
        <w:rPr>
          <w:rFonts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auto"/>
          <w:spacing w:val="-6"/>
          <w:sz w:val="28"/>
          <w:szCs w:val="28"/>
          <w:highlight w:val="white"/>
          <w:u w:val="none"/>
          <w:lang w:val="uk-UA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auto"/>
          <w:spacing w:val="-6"/>
          <w:sz w:val="28"/>
          <w:szCs w:val="28"/>
          <w:highlight w:val="white"/>
          <w:u w:val="none"/>
          <w:lang w:val="uk-UA"/>
        </w:rPr>
        <w:tab/>
      </w:r>
    </w:p>
    <w:p>
      <w:pPr>
        <w:pStyle w:val="Normal"/>
        <w:widowControl/>
        <w:suppressAutoHyphens w:val="true"/>
        <w:bidi w:val="0"/>
        <w:snapToGrid w:val="false"/>
        <w:spacing w:lineRule="auto" w:line="240"/>
        <w:ind w:left="0" w:right="0" w:hanging="0"/>
        <w:jc w:val="center"/>
        <w:rPr/>
      </w:pPr>
      <w:r>
        <w:rPr>
          <w:rStyle w:val="Style14"/>
          <w:rFonts w:eastAsia="Tahoma" w:cs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color w:val="FF1493"/>
          <w:spacing w:val="0"/>
          <w:kern w:val="2"/>
          <w:sz w:val="28"/>
          <w:szCs w:val="28"/>
          <w:highlight w:val="white"/>
          <w:u w:val="none"/>
          <w:em w:val="none"/>
          <w:lang w:val="uk-UA" w:eastAsia="zh-CN" w:bidi="hi-IN"/>
        </w:rPr>
        <w:tab/>
      </w:r>
    </w:p>
    <w:p>
      <w:pPr>
        <w:pStyle w:val="Normal"/>
        <w:bidi w:val="0"/>
        <w:snapToGrid w:val="false"/>
        <w:spacing w:lineRule="auto" w:line="240"/>
        <w:ind w:left="0" w:right="0" w:firstLine="567"/>
        <w:jc w:val="left"/>
        <w:rPr>
          <w:rFonts w:cs="Times New Roman"/>
          <w:b w:val="false"/>
          <w:b w:val="false"/>
          <w:bCs w:val="false"/>
          <w:color w:val="FF1493"/>
          <w:sz w:val="28"/>
          <w:szCs w:val="28"/>
          <w:highlight w:val="white"/>
          <w:lang w:val="uk-UA"/>
        </w:rPr>
      </w:pPr>
      <w:r>
        <w:rPr>
          <w:rFonts w:cs="Times New Roman"/>
          <w:b w:val="false"/>
          <w:bCs w:val="false"/>
          <w:color w:val="FF1493"/>
          <w:sz w:val="28"/>
          <w:szCs w:val="28"/>
          <w:highlight w:val="white"/>
          <w:lang w:val="uk-UA"/>
        </w:rPr>
      </w:r>
    </w:p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jc w:val="right"/>
        <w:rPr>
          <w:rFonts w:ascii="Times New Roman" w:hAnsi="Times New Roman" w:eastAsia="Courier New" w:cs="Times New Roman"/>
          <w:b w:val="false"/>
          <w:b w:val="false"/>
          <w:bCs w:val="false"/>
          <w:color w:val="FF1493"/>
          <w:sz w:val="26"/>
          <w:szCs w:val="26"/>
          <w:highlight w:val="white"/>
          <w:lang w:val="uk-UA"/>
        </w:rPr>
      </w:pPr>
      <w:r>
        <w:rPr>
          <w:rFonts w:eastAsia="Courier New" w:cs="Times New Roman"/>
          <w:b w:val="false"/>
          <w:bCs w:val="false"/>
          <w:color w:val="FF1493"/>
          <w:sz w:val="26"/>
          <w:szCs w:val="26"/>
          <w:highlight w:val="white"/>
          <w:lang w:val="uk-UA"/>
        </w:rPr>
      </w:r>
    </w:p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jc w:val="right"/>
        <w:rPr>
          <w:rFonts w:ascii="Times New Roman" w:hAnsi="Times New Roman" w:eastAsia="Courier New" w:cs="Times New Roman"/>
          <w:b w:val="false"/>
          <w:b w:val="false"/>
          <w:bCs w:val="false"/>
          <w:color w:val="FF1493"/>
          <w:sz w:val="26"/>
          <w:szCs w:val="26"/>
          <w:highlight w:val="white"/>
          <w:lang w:val="uk-UA"/>
        </w:rPr>
      </w:pPr>
      <w:r>
        <w:rPr>
          <w:rFonts w:eastAsia="Courier New" w:cs="Times New Roman"/>
          <w:b w:val="false"/>
          <w:bCs w:val="false"/>
          <w:color w:val="FF1493"/>
          <w:sz w:val="26"/>
          <w:szCs w:val="26"/>
          <w:highlight w:val="white"/>
          <w:lang w:val="uk-UA"/>
        </w:rPr>
      </w:r>
    </w:p>
    <w:p>
      <w:pPr>
        <w:pStyle w:val="Normal"/>
        <w:tabs>
          <w:tab w:val="clear" w:pos="709"/>
          <w:tab w:val="left" w:pos="4841" w:leader="none"/>
        </w:tabs>
        <w:bidi w:val="0"/>
        <w:snapToGrid w:val="false"/>
        <w:spacing w:lineRule="auto" w:line="240"/>
        <w:jc w:val="right"/>
        <w:rPr>
          <w:rFonts w:ascii="Times New Roman" w:hAnsi="Times New Roman" w:eastAsia="Courier New" w:cs="Times New Roman"/>
          <w:b w:val="false"/>
          <w:b w:val="false"/>
          <w:bCs w:val="false"/>
          <w:color w:val="FF1493"/>
          <w:sz w:val="26"/>
          <w:szCs w:val="26"/>
          <w:highlight w:val="white"/>
          <w:lang w:val="uk-UA"/>
        </w:rPr>
      </w:pPr>
      <w:r>
        <w:rPr>
          <w:rFonts w:eastAsia="Courier New" w:cs="Times New Roman"/>
          <w:b w:val="false"/>
          <w:bCs w:val="false"/>
          <w:color w:val="FF1493"/>
          <w:sz w:val="26"/>
          <w:szCs w:val="26"/>
          <w:highlight w:val="white"/>
          <w:lang w:val="uk-UA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Courier New" w:cs="Times New Roman"/>
          <w:b w:val="false"/>
          <w:b w:val="false"/>
          <w:bCs w:val="false"/>
          <w:color w:val="FF1493"/>
          <w:sz w:val="26"/>
          <w:szCs w:val="26"/>
          <w:highlight w:val="white"/>
          <w:lang w:val="uk-UA"/>
        </w:rPr>
      </w:pPr>
      <w:r>
        <w:rPr>
          <w:rFonts w:eastAsia="Courier New" w:cs="Times New Roman"/>
          <w:b w:val="false"/>
          <w:bCs w:val="false"/>
          <w:color w:val="FF1493"/>
          <w:sz w:val="26"/>
          <w:szCs w:val="26"/>
          <w:highlight w:val="white"/>
          <w:lang w:val="uk-UA"/>
        </w:rPr>
      </w:r>
    </w:p>
    <w:p>
      <w:pPr>
        <w:pStyle w:val="Normal"/>
        <w:widowControl w:val="false"/>
        <w:pBdr>
          <w:top w:val="single" w:sz="20" w:space="2" w:color="FFFFFF"/>
        </w:pBdr>
        <w:tabs>
          <w:tab w:val="clear" w:pos="709"/>
          <w:tab w:val="left" w:pos="855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850"/>
        <w:jc w:val="both"/>
        <w:rPr/>
      </w:pPr>
      <w:r>
        <w:rPr/>
      </w:r>
    </w:p>
    <w:sectPr>
      <w:type w:val="nextPage"/>
      <w:pgSz w:w="11906" w:h="16838"/>
      <w:pgMar w:left="1701" w:right="567" w:header="0" w:top="510" w:footer="0" w:bottom="6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ymbo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Open Sans">
    <w:altName w:val="Helvetica Neue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Arial Unicode MS" w:cs="Tahoma"/>
      <w:color w:val="auto"/>
      <w:kern w:val="2"/>
      <w:sz w:val="24"/>
      <w:szCs w:val="24"/>
      <w:lang w:val="uk-UA" w:eastAsia="zxx" w:bidi="zxx"/>
    </w:rPr>
  </w:style>
  <w:style w:type="character" w:styleId="AbsatzStandardschriftart">
    <w:name w:val="Absatz-Standardschriftart"/>
    <w:qFormat/>
    <w:rPr/>
  </w:style>
  <w:style w:type="character" w:styleId="Style14">
    <w:name w:val="Виділення жирним"/>
    <w:qFormat/>
    <w:rPr>
      <w:b/>
      <w:bCs/>
    </w:rPr>
  </w:style>
  <w:style w:type="character" w:styleId="Strong">
    <w:name w:val="Strong"/>
    <w:qFormat/>
    <w:rPr>
      <w:b/>
      <w:bCs/>
    </w:rPr>
  </w:style>
  <w:style w:type="character" w:styleId="Style15">
    <w:name w:val="Виділення"/>
    <w:qFormat/>
    <w:rPr>
      <w:i/>
      <w:iCs/>
    </w:rPr>
  </w:style>
  <w:style w:type="character" w:styleId="Style16">
    <w:name w:val="Символ нумерації"/>
    <w:qFormat/>
    <w:rPr/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character" w:styleId="Style18">
    <w:name w:val="Відвідане гіперпосилання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Symbol" w:hAnsi="Symbol" w:cs="Symbol"/>
      <w:color w:val="000000"/>
      <w:kern w:val="2"/>
      <w:sz w:val="28"/>
      <w:szCs w:val="28"/>
      <w:lang w:val="uk-UA" w:eastAsia="zxx" w:bidi="zxx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Style20">
    <w:name w:val="Body Text"/>
    <w:basedOn w:val="Normal"/>
    <w:pPr>
      <w:spacing w:before="0" w:after="120"/>
    </w:pPr>
    <w:rPr/>
  </w:style>
  <w:style w:type="paragraph" w:styleId="Style21">
    <w:name w:val="List"/>
    <w:basedOn w:val="Style20"/>
    <w:pPr/>
    <w:rPr>
      <w:rFonts w:cs="Tahoma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WW">
    <w:name w:val="WW-Заголовок"/>
    <w:basedOn w:val="Style19"/>
    <w:next w:val="Style24"/>
    <w:qFormat/>
    <w:pPr/>
    <w:rPr/>
  </w:style>
  <w:style w:type="paragraph" w:styleId="Style24">
    <w:name w:val="Subtitle"/>
    <w:basedOn w:val="Style19"/>
    <w:next w:val="Style20"/>
    <w:qFormat/>
    <w:pPr>
      <w:jc w:val="center"/>
    </w:pPr>
    <w:rPr>
      <w:i/>
      <w:iCs/>
      <w:sz w:val="28"/>
      <w:szCs w:val="28"/>
    </w:rPr>
  </w:style>
  <w:style w:type="paragraph" w:styleId="Style25">
    <w:name w:val="Название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Tahoma"/>
    </w:rPr>
  </w:style>
  <w:style w:type="paragraph" w:styleId="Style27">
    <w:name w:val="Содержимое таблицы"/>
    <w:basedOn w:val="Normal"/>
    <w:qFormat/>
    <w:pPr>
      <w:suppressLineNumbers/>
    </w:pPr>
    <w:rPr/>
  </w:style>
  <w:style w:type="paragraph" w:styleId="Style28">
    <w:name w:val="Вміст таблиці"/>
    <w:basedOn w:val="Normal"/>
    <w:qFormat/>
    <w:pPr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Текст у вказаному форматі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ListParagraph">
    <w:name w:val="List Paragraph"/>
    <w:qFormat/>
    <w:pPr>
      <w:widowControl/>
      <w:bidi w:val="0"/>
      <w:ind w:left="720" w:right="0" w:hanging="0"/>
      <w:jc w:val="left"/>
    </w:pPr>
    <w:rPr>
      <w:rFonts w:ascii="Liberation Serif" w:hAnsi="Liberation Serif" w:eastAsia="NSimSun" w:cs="Arial"/>
      <w:color w:val="auto"/>
      <w:kern w:val="0"/>
      <w:sz w:val="20"/>
      <w:szCs w:val="24"/>
      <w:lang w:val="uk-UA" w:eastAsia="zh-CN" w:bidi="hi-IN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193</TotalTime>
  <Application>LibreOffice/6.3.2.2$Windows_X86_64 LibreOffice_project/98b30e735bda24bc04ab42594c85f7fd8be07b9c</Application>
  <Pages>1</Pages>
  <Words>95</Words>
  <Characters>645</Characters>
  <CharactersWithSpaces>1045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2013-01-04T10:38:30Z</dcterms:created>
  <dc:creator>Юрий</dc:creator>
  <dc:description/>
  <dc:language>uk-UA</dc:language>
  <cp:lastModifiedBy/>
  <cp:lastPrinted>2021-06-08T13:14:55Z</cp:lastPrinted>
  <dcterms:modified xsi:type="dcterms:W3CDTF">2021-07-22T10:37:52Z</dcterms:modified>
  <cp:revision>26</cp:revision>
  <dc:subject/>
  <dc:title/>
</cp:coreProperties>
</file>