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left="0" w:right="0"/>
        <w:jc w:val="right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 xml:space="preserve">Додаток </w:t>
      </w:r>
    </w:p>
    <w:p>
      <w:pPr>
        <w:pStyle w:val="Normal"/>
        <w:ind w:hanging="0"/>
        <w:jc w:val="center"/>
        <w:rPr/>
      </w:pP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uk-UA" w:eastAsia="ru-RU" w:bidi="ar-SA"/>
        </w:rPr>
        <w:t>І</w:t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uk-UA" w:eastAsia="ru-RU" w:bidi="hi-IN"/>
        </w:rPr>
        <w:t>нформація про кількість рядків у відомостях періодичного поновлення за</w:t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uk-UA" w:eastAsia="ru-RU" w:bidi="ar-SA"/>
        </w:rPr>
        <w:t xml:space="preserve"> І півріччя 2025 року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tbl>
      <w:tblPr>
        <w:tblW w:w="14850" w:type="dxa"/>
        <w:jc w:val="left"/>
        <w:tblInd w:w="-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1569"/>
        <w:gridCol w:w="746"/>
        <w:gridCol w:w="491"/>
        <w:gridCol w:w="931"/>
        <w:gridCol w:w="747"/>
        <w:gridCol w:w="490"/>
        <w:gridCol w:w="747"/>
        <w:gridCol w:w="490"/>
        <w:gridCol w:w="747"/>
        <w:gridCol w:w="600"/>
        <w:gridCol w:w="710"/>
        <w:gridCol w:w="493"/>
        <w:gridCol w:w="490"/>
        <w:gridCol w:w="490"/>
        <w:gridCol w:w="495"/>
        <w:gridCol w:w="491"/>
        <w:gridCol w:w="490"/>
        <w:gridCol w:w="492"/>
        <w:gridCol w:w="490"/>
        <w:gridCol w:w="491"/>
        <w:gridCol w:w="492"/>
        <w:gridCol w:w="637"/>
        <w:gridCol w:w="1029"/>
      </w:tblGrid>
      <w:tr>
        <w:trPr>
          <w:tblHeader w:val="true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Період поновлення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3.3,3.4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Всього</w:t>
            </w:r>
          </w:p>
        </w:tc>
      </w:tr>
      <w:tr>
        <w:trPr>
          <w:cantSplit w:val="true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ПП 1 - 31 січня 2025р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1436</w:t>
            </w:r>
          </w:p>
        </w:tc>
      </w:tr>
      <w:tr>
        <w:trPr>
          <w:cantSplit w:val="true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ПП 1 - 28 лютого 2025р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1638</w:t>
            </w:r>
          </w:p>
        </w:tc>
      </w:tr>
      <w:tr>
        <w:trPr>
          <w:cantSplit w:val="true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ПП 1 - 31 березня 2025р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1909</w:t>
            </w:r>
          </w:p>
        </w:tc>
      </w:tr>
      <w:tr>
        <w:trPr>
          <w:cantSplit w:val="true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ПП 1 - 30 квітня 2025р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1827</w:t>
            </w:r>
          </w:p>
        </w:tc>
      </w:tr>
      <w:tr>
        <w:trPr>
          <w:cantSplit w:val="true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ПП 1 - 31 травня 2025р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1767</w:t>
            </w:r>
          </w:p>
        </w:tc>
      </w:tr>
      <w:tr>
        <w:trPr>
          <w:cantSplit w:val="true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ПП 1 - 30 червня 2025р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1919</w:t>
            </w:r>
          </w:p>
        </w:tc>
      </w:tr>
      <w:tr>
        <w:trPr>
          <w:cantSplit w:val="true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10496</w:t>
            </w:r>
          </w:p>
        </w:tc>
      </w:tr>
    </w:tbl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tbl>
      <w:tblPr>
        <w:tblW w:w="15139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97"/>
        <w:gridCol w:w="8169"/>
        <w:gridCol w:w="5673"/>
      </w:tblGrid>
      <w:tr>
        <w:trPr/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Тип відомості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widowControl w:val="false"/>
              <w:suppressLineNumbers/>
              <w:ind w:hanging="0" w:left="0" w:right="0"/>
              <w:jc w:val="center"/>
              <w:rPr>
                <w:rFonts w:ascii="Times New Roman" w:hAnsi="Times New Roman" w:eastAsia="Courier New" w:cs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eastAsia="Courier New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  <w:t>Відомості про: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Суб’єкт подання відомостей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зареєстрували своє місце проживання на території Луцької територіально громади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зняті з реєстрації за місцем проживання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громадянство України яких припинено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Оформлено паспорт вперше після досягнення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Померли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ДРАЦС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 отримали паспорт громадянина України у зв'язку із зміною прізвища, імені, по батькові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отримали паспорт громадянина України у зв'язку із зміною дати або місця народження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були визнані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осіб, щодо яких було скасовано рішення про визнання їх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продовження строку недієздатності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виборців, які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прибули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для відбування покарання до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відбували покарання і вибули з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які відбувають покарання та яким виповниться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щодо яких встановлено постійну нездатність пересуватися самостійно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УОЗ, терцентр, Геріатричний пансіонат</w:t>
            </w:r>
          </w:p>
        </w:tc>
      </w:tr>
    </w:tbl>
    <w:p>
      <w:pPr>
        <w:pStyle w:val="Normal"/>
        <w:bidi w:val="0"/>
        <w:spacing w:lineRule="atLeast" w:line="0" w:before="0" w:after="0"/>
        <w:ind w:hanging="0" w:left="0" w:right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616" w:right="538" w:gutter="0" w:header="0" w:top="1008" w:footer="0" w:bottom="100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user2">
    <w:name w:val="Верхній і нижній колонтитули (user)"/>
    <w:basedOn w:val="Normal"/>
    <w:qFormat/>
    <w:pPr/>
    <w:rPr/>
  </w:style>
  <w:style w:type="paragraph" w:styleId="Style16">
    <w:name w:val="Верхній і нижній колонтитули"/>
    <w:basedOn w:val="Normal"/>
    <w:qFormat/>
    <w:pPr/>
    <w:rPr/>
  </w:style>
  <w:style w:type="paragraph" w:styleId="Header">
    <w:name w:val="header"/>
    <w:basedOn w:val="user2"/>
    <w:pPr>
      <w:suppressLineNumbers/>
    </w:pPr>
    <w:rPr/>
  </w:style>
  <w:style w:type="paragraph" w:styleId="Footer">
    <w:name w:val="footer"/>
    <w:basedOn w:val="user2"/>
    <w:pPr>
      <w:suppressLineNumbers/>
    </w:pPr>
    <w:rPr/>
  </w:style>
  <w:style w:type="paragraph" w:styleId="user3">
    <w:name w:val="Вміст таблиці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і (user)"/>
    <w:basedOn w:val="user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LibreOffice/25.2.4.3$Windows_X86_64 LibreOffice_project/33e196637044ead23f5c3226cde09b47731f7e27</Application>
  <AppVersion>15.0000</AppVersion>
  <Pages>2</Pages>
  <Words>501</Words>
  <Characters>2242</Characters>
  <CharactersWithSpaces>2503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2025-07-18T15:59:46Z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