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35" w:leader="none"/>
        </w:tabs>
        <w:ind w:hanging="0" w:right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ab/>
        <w:t>Додаток 2</w:t>
      </w:r>
    </w:p>
    <w:p>
      <w:pPr>
        <w:pStyle w:val="Normal"/>
        <w:tabs>
          <w:tab w:val="clear" w:pos="709"/>
          <w:tab w:val="left" w:pos="735" w:leader="none"/>
        </w:tabs>
        <w:ind w:hanging="0" w:right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shd w:fill="FFFFFF" w:val="clear"/>
        </w:rPr>
      </w:r>
    </w:p>
    <w:p>
      <w:pPr>
        <w:pStyle w:val="Normal"/>
        <w:widowControl w:val="false"/>
        <w:tabs>
          <w:tab w:val="clear" w:pos="709"/>
          <w:tab w:val="left" w:pos="795" w:leader="none"/>
        </w:tabs>
        <w:spacing w:lineRule="auto" w:line="240"/>
        <w:ind w:hanging="0" w:right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Інформація кількість проведених наказів та рядків у них в розрізі типів змін, 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spacing w:lineRule="auto" w:line="240"/>
        <w:ind w:hanging="0" w:right="0"/>
        <w:jc w:val="center"/>
        <w:rPr>
          <w:rFonts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що були проведені у 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>січні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 202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>5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 року </w:t>
      </w:r>
    </w:p>
    <w:p>
      <w:pPr>
        <w:pStyle w:val="Normal"/>
        <w:tabs>
          <w:tab w:val="clear" w:pos="709"/>
          <w:tab w:val="left" w:pos="735" w:leader="none"/>
        </w:tabs>
        <w:ind w:hanging="0" w:right="0"/>
        <w:jc w:val="both"/>
        <w:rPr>
          <w:rFonts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cs="Times New Roman"/>
          <w:b w:val="false"/>
          <w:bCs w:val="false"/>
          <w:i/>
          <w:iCs/>
          <w:sz w:val="12"/>
          <w:szCs w:val="12"/>
          <w:shd w:fill="FFFFFF" w:val="clear"/>
        </w:rPr>
      </w:r>
    </w:p>
    <w:tbl>
      <w:tblPr>
        <w:tblW w:w="9498" w:type="dxa"/>
        <w:jc w:val="left"/>
        <w:tblInd w:w="36" w:type="dxa"/>
        <w:tblLayout w:type="fixed"/>
        <w:tblCellMar>
          <w:top w:w="55" w:type="dxa"/>
          <w:left w:w="7" w:type="dxa"/>
          <w:bottom w:w="55" w:type="dxa"/>
          <w:right w:w="55" w:type="dxa"/>
        </w:tblCellMar>
      </w:tblPr>
      <w:tblGrid>
        <w:gridCol w:w="4091"/>
        <w:gridCol w:w="3037"/>
        <w:gridCol w:w="2370"/>
      </w:tblGrid>
      <w:tr>
        <w:trPr>
          <w:trHeight w:val="510" w:hRule="atLeast"/>
        </w:trPr>
        <w:tc>
          <w:tcPr>
            <w:tcW w:w="4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Тип змін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К-ть проведених наказів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Рядів у наказах</w:t>
            </w:r>
          </w:p>
        </w:tc>
      </w:tr>
      <w:tr>
        <w:trPr/>
        <w:tc>
          <w:tcPr>
            <w:tcW w:w="4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Внесення запису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25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199</w:t>
            </w:r>
          </w:p>
        </w:tc>
      </w:tr>
      <w:tr>
        <w:trPr/>
        <w:tc>
          <w:tcPr>
            <w:tcW w:w="4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Внесення змін до запису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30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496</w:t>
            </w:r>
          </w:p>
        </w:tc>
      </w:tr>
      <w:tr>
        <w:trPr/>
        <w:tc>
          <w:tcPr>
            <w:tcW w:w="4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Вибуття виборців (відмітка)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7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365</w:t>
            </w:r>
          </w:p>
        </w:tc>
      </w:tr>
      <w:tr>
        <w:trPr/>
        <w:tc>
          <w:tcPr>
            <w:tcW w:w="4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Зміни місця народж. за змінами АТУУ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-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-</w:t>
            </w:r>
          </w:p>
        </w:tc>
      </w:tr>
      <w:tr>
        <w:trPr/>
        <w:tc>
          <w:tcPr>
            <w:tcW w:w="4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 xml:space="preserve">Зміни </w:t>
            </w:r>
            <w:r>
              <w:rPr>
                <w:rFonts w:eastAsia="Arial Unicode MS" w:cs="Times New Roman" w:ascii="Times New Roman" w:hAnsi="Times New Roman"/>
                <w:i w:val="false"/>
                <w:iCs w:val="false"/>
              </w:rPr>
              <w:t>ВА</w:t>
            </w:r>
            <w:r>
              <w:rPr>
                <w:rFonts w:cs="Times New Roman" w:ascii="Times New Roman" w:hAnsi="Times New Roman"/>
                <w:i w:val="false"/>
                <w:iCs w:val="false"/>
              </w:rPr>
              <w:t>. за змінами АТУУ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-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-</w:t>
            </w:r>
          </w:p>
        </w:tc>
      </w:tr>
      <w:tr>
        <w:trPr/>
        <w:tc>
          <w:tcPr>
            <w:tcW w:w="4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spacing w:val="0"/>
              </w:rPr>
              <w:t>Зміни у ВА при змінах в геонімах/будинках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2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285</w:t>
            </w:r>
          </w:p>
        </w:tc>
      </w:tr>
      <w:tr>
        <w:trPr/>
        <w:tc>
          <w:tcPr>
            <w:tcW w:w="4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Знищення ст.17,ч.5 (у зв’язку із закінченням строку збереження)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8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215</w:t>
            </w:r>
          </w:p>
        </w:tc>
      </w:tr>
      <w:tr>
        <w:trPr/>
        <w:tc>
          <w:tcPr>
            <w:tcW w:w="4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Усунення кратних включень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1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>
        <w:trPr/>
        <w:tc>
          <w:tcPr>
            <w:tcW w:w="4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Зміни ВА за зверненнями ВВ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</w:rPr>
              <w:t>11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94</w:t>
            </w:r>
          </w:p>
        </w:tc>
      </w:tr>
      <w:tr>
        <w:trPr/>
        <w:tc>
          <w:tcPr>
            <w:tcW w:w="4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</w:rPr>
              <w:t>Всього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b/>
                <w:bCs/>
                <w:i w:val="false"/>
                <w:i w:val="false"/>
                <w:iCs w:val="false"/>
                <w:shd w:fill="FFFFFF" w:val="clear"/>
              </w:rPr>
            </w:pPr>
            <w:r>
              <w:fldChar w:fldCharType="begin"/>
            </w:r>
            <w:r>
              <w:rPr/>
              <w:instrText xml:space="preserve"> =sumB2:B10</w:instrText>
            </w:r>
            <w:r>
              <w:rPr/>
              <w:fldChar w:fldCharType="separate"/>
            </w:r>
            <w:r>
              <w:rPr/>
              <w:t>84</w:t>
            </w:r>
            <w:r>
              <w:rPr/>
              <w:fldChar w:fldCharType="end"/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b/>
                <w:bCs/>
                <w:i w:val="false"/>
                <w:i w:val="false"/>
                <w:iCs w:val="false"/>
                <w:shd w:fill="FFFFFF" w:val="clear"/>
              </w:rPr>
            </w:pPr>
            <w:r>
              <w:fldChar w:fldCharType="begin"/>
            </w:r>
            <w:r>
              <w:rPr/>
              <w:instrText xml:space="preserve"> =sum(B11)C2:C10</w:instrText>
            </w:r>
            <w:r>
              <w:rPr/>
              <w:fldChar w:fldCharType="separate"/>
            </w:r>
            <w:r>
              <w:rPr/>
              <w:t>1655</w:t>
            </w:r>
            <w:r>
              <w:rPr/>
              <w:fldChar w:fldCharType="end"/>
            </w:r>
          </w:p>
        </w:tc>
      </w:tr>
    </w:tbl>
    <w:p>
      <w:pPr>
        <w:pStyle w:val="Normal"/>
        <w:widowControl w:val="false"/>
        <w:spacing w:before="0" w:after="0"/>
        <w:rPr>
          <w:rFonts w:ascii="Times New Roman" w:hAnsi="Times New Roman" w:eastAsia="Courier New"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eastAsia="Courier New" w:cs="Times New Roman" w:ascii="Times New Roman" w:hAnsi="Times New Roman"/>
          <w:b w:val="false"/>
          <w:bCs w:val="false"/>
          <w:i/>
          <w:iCs/>
          <w:sz w:val="12"/>
          <w:szCs w:val="12"/>
          <w:shd w:fill="FFFFFF" w:val="clear"/>
        </w:rPr>
      </w:r>
    </w:p>
    <w:p>
      <w:pPr>
        <w:pStyle w:val="Normal"/>
        <w:rPr>
          <w:rFonts w:ascii="Times New Roman" w:hAnsi="Times New Roman" w:eastAsia="Courier New" w:cs="Times New Roman"/>
          <w:b w:val="false"/>
          <w:bCs w:val="false"/>
          <w:i w:val="false"/>
          <w:i w:val="false"/>
          <w:iCs w:val="false"/>
          <w:sz w:val="12"/>
          <w:szCs w:val="12"/>
          <w:shd w:fill="FFFFFF" w:val="clear"/>
        </w:rPr>
      </w:pPr>
      <w:r>
        <w:rPr>
          <w:rFonts w:eastAsia="Courier New" w:cs="Times New Roman" w:ascii="Times New Roman" w:hAnsi="Times New Roman"/>
          <w:b w:val="false"/>
          <w:bCs w:val="false"/>
          <w:i w:val="false"/>
          <w:iCs w:val="false"/>
          <w:sz w:val="12"/>
          <w:szCs w:val="12"/>
          <w:shd w:fill="FFFFFF" w:val="clea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36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character" w:styleId="-">
    <w:name w:val="Интернет-ссылка"/>
    <w:qFormat/>
    <w:rPr>
      <w:color w:val="000080"/>
      <w:u w:val="single"/>
      <w:lang w:val="zxx" w:eastAsia="zxx" w:bidi="zxx"/>
    </w:rPr>
  </w:style>
  <w:style w:type="character" w:styleId="FontStyle11">
    <w:name w:val="Font Style11"/>
    <w:qFormat/>
    <w:rPr>
      <w:rFonts w:ascii="Times New Roman" w:hAnsi="Times New Roman" w:eastAsia="Times New Roman" w:cs="Times New Roman"/>
      <w:color w:val="000000"/>
      <w:spacing w:val="10"/>
    </w:rPr>
  </w:style>
  <w:style w:type="character" w:styleId="FontStyle18">
    <w:name w:val="Font Style18"/>
    <w:qFormat/>
    <w:rPr>
      <w:rFonts w:ascii="Times New Roman" w:hAnsi="Times New Roman" w:eastAsia="Times New Roman" w:cs="Times New Roman"/>
      <w:b/>
      <w:bCs/>
      <w:color w:val="00000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styleId="Style15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Style16">
    <w:name w:val="Маркери"/>
    <w:qFormat/>
    <w:rPr>
      <w:rFonts w:ascii="OpenSymbol;Arial Unicode MS" w:hAnsi="OpenSymbol;Arial Unicode MS" w:eastAsia="OpenSymbol;Arial Unicode MS" w:cs="OpenSymbol;Arial Unicode MS"/>
    </w:rPr>
  </w:style>
  <w:style w:type="character" w:styleId="Absatz-Standardschriftart">
    <w:name w:val="Absatz-Standardschriftart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0">
    <w:name w:val="WW8Num1z0"/>
    <w:qFormat/>
    <w:rPr>
      <w:rFonts w:ascii="Symbol" w:hAnsi="Symbol" w:eastAsia="Courier New" w:cs="OpenSymbol;Arial Unicode MS"/>
      <w:sz w:val="28"/>
      <w:szCs w:val="28"/>
      <w:lang w:val="uk-UA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Название объекта"/>
    <w:basedOn w:val="Normal"/>
    <w:qFormat/>
    <w:pPr>
      <w:spacing w:before="120" w:after="120"/>
    </w:pPr>
    <w:rPr>
      <w:rFonts w:ascii="Times New Roman" w:hAnsi="Times New Roman" w:cs="Times New Roman"/>
      <w:i/>
      <w:iCs/>
      <w:sz w:val="28"/>
    </w:rPr>
  </w:style>
  <w:style w:type="paragraph" w:styleId="21">
    <w:name w:val="Название2"/>
    <w:basedOn w:val="Normal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styleId="22">
    <w:name w:val="Указатель2"/>
    <w:basedOn w:val="Normal"/>
    <w:qFormat/>
    <w:pPr/>
    <w:rPr>
      <w:rFonts w:ascii="Times New Roman" w:hAnsi="Times New Roman" w:cs="Mangal"/>
    </w:rPr>
  </w:style>
  <w:style w:type="paragraph" w:styleId="11">
    <w:name w:val="Название1"/>
    <w:basedOn w:val="Normal"/>
    <w:qFormat/>
    <w:pPr>
      <w:spacing w:before="120" w:after="120"/>
    </w:pPr>
    <w:rPr>
      <w:rFonts w:cs="Mangal"/>
      <w:i/>
      <w:iCs/>
      <w:sz w:val="28"/>
    </w:rPr>
  </w:style>
  <w:style w:type="paragraph" w:styleId="12">
    <w:name w:val="Указатель1"/>
    <w:basedOn w:val="Normal"/>
    <w:qFormat/>
    <w:pPr/>
    <w:rPr>
      <w:rFonts w:cs="Mangal"/>
    </w:rPr>
  </w:style>
  <w:style w:type="paragraph" w:styleId="Style20">
    <w:name w:val="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Style51">
    <w:name w:val="Style5"/>
    <w:basedOn w:val="Normal"/>
    <w:qFormat/>
    <w:pPr>
      <w:spacing w:lineRule="exact" w:line="312"/>
      <w:ind w:firstLine="550" w:left="0" w:right="0"/>
      <w:jc w:val="both"/>
    </w:pPr>
    <w:rPr>
      <w:bCs w:val="false"/>
    </w:rPr>
  </w:style>
  <w:style w:type="paragraph" w:styleId="Style21">
    <w:name w:val="Заголовок таблицы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uk-UA" w:eastAsia="zh-CN" w:bidi="hi-IN"/>
    </w:rPr>
  </w:style>
  <w:style w:type="paragraph" w:styleId="Style22">
    <w:name w:val="Содержимое таблицы"/>
    <w:basedOn w:val="Normal"/>
    <w:qFormat/>
    <w:pPr/>
    <w:rPr/>
  </w:style>
  <w:style w:type="paragraph" w:styleId="StyleNormal">
    <w:name w:val="StyleNormal"/>
    <w:qFormat/>
    <w:pPr>
      <w:widowControl/>
      <w:suppressAutoHyphens w:val="true"/>
      <w:overflowPunct w:val="true"/>
      <w:bidi w:val="0"/>
      <w:spacing w:lineRule="exact" w:line="22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uk-UA" w:eastAsia="zh-CN" w:bidi="ar-SA"/>
    </w:rPr>
  </w:style>
  <w:style w:type="paragraph" w:styleId="StyleZakonu">
    <w:name w:val="StyleZakonu"/>
    <w:qFormat/>
    <w:pPr>
      <w:widowControl/>
      <w:suppressAutoHyphens w:val="true"/>
      <w:bidi w:val="0"/>
      <w:spacing w:lineRule="exact" w:line="220" w:before="0" w:after="60"/>
      <w:ind w:firstLine="284" w:left="0" w:right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zh-CN" w:bidi="ar-SA"/>
    </w:rPr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Cs w:val="28"/>
      <w:lang w:val="ru-RU"/>
    </w:rPr>
  </w:style>
  <w:style w:type="paragraph" w:styleId="WW-">
    <w:name w:val="WW-Заголовок"/>
    <w:qFormat/>
    <w:pPr>
      <w:keepNext w:val="true"/>
      <w:widowControl/>
      <w:suppressAutoHyphens w:val="true"/>
      <w:overflowPunct w:val="true"/>
      <w:bidi w:val="0"/>
      <w:spacing w:before="240" w:after="120"/>
      <w:jc w:val="left"/>
    </w:pPr>
    <w:rPr>
      <w:rFonts w:ascii="Arial" w:hAnsi="Arial" w:eastAsia="MS Mincho" w:cs="Tahoma"/>
      <w:color w:val="auto"/>
      <w:kern w:val="2"/>
      <w:sz w:val="28"/>
      <w:szCs w:val="28"/>
      <w:lang w:val="uk-UA" w:eastAsia="zh-CN" w:bidi="hi-IN"/>
    </w:rPr>
  </w:style>
  <w:style w:type="paragraph" w:styleId="Style23">
    <w:name w:val="Указатель"/>
    <w:basedOn w:val="Normal"/>
    <w:qFormat/>
    <w:pPr/>
    <w:rPr>
      <w:rFonts w:cs="Tahoma"/>
    </w:rPr>
  </w:style>
  <w:style w:type="paragraph" w:styleId="Style24">
    <w:name w:val="Вміст таблиці"/>
    <w:basedOn w:val="Normal"/>
    <w:qFormat/>
    <w:pPr>
      <w:widowControl w:val="false"/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108</TotalTime>
  <Application>LibreOffice/24.8.4.2$Windows_X86_64 LibreOffice_project/bb3cfa12c7b1bf994ecc5649a80400d06cd71002</Application>
  <AppVersion>15.0000</AppVersion>
  <Pages>1</Pages>
  <Words>93</Words>
  <Characters>434</Characters>
  <CharactersWithSpaces>494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1995-11-21T17:41:00Z</cp:lastPrinted>
  <dcterms:modified xsi:type="dcterms:W3CDTF">2025-02-10T12:52:39Z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