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uppressAutoHyphens w:val="false"/>
        <w:jc w:val="both"/>
        <w:rPr>
          <w:szCs w:val="28"/>
        </w:rPr>
      </w:pPr>
      <w:r>
        <w:rPr>
          <w:szCs w:val="28"/>
        </w:rPr>
      </w:r>
    </w:p>
    <w:p>
      <w:pPr>
        <w:pStyle w:val="Normal"/>
        <w:widowControl w:val="false"/>
        <w:suppressAutoHyphens w:val="false"/>
        <w:jc w:val="both"/>
        <w:rPr>
          <w:b/>
          <w:bCs/>
          <w:u w:val="single"/>
        </w:rPr>
      </w:pPr>
      <w:r>
        <w:rPr>
          <w:b/>
          <w:bCs/>
          <w:sz w:val="27"/>
          <w:szCs w:val="27"/>
          <w:u w:val="single"/>
        </w:rPr>
        <w:t>Про місцев</w:t>
      </w:r>
      <w:r>
        <w:rPr>
          <w:b/>
          <w:bCs/>
          <w:sz w:val="27"/>
          <w:szCs w:val="27"/>
          <w:u w:val="single"/>
          <w:lang w:val="ru-RU"/>
        </w:rPr>
        <w:t>ий</w:t>
      </w:r>
      <w:r>
        <w:rPr>
          <w:b/>
          <w:bCs/>
          <w:sz w:val="27"/>
          <w:szCs w:val="27"/>
          <w:u w:val="single"/>
        </w:rPr>
        <w:t xml:space="preserve"> борг  станом на 01.01.2024.</w:t>
      </w:r>
    </w:p>
    <w:p>
      <w:pPr>
        <w:pStyle w:val="Normal"/>
        <w:widowControl w:val="false"/>
        <w:shd w:val="clear" w:color="auto" w:fill="FFFFFF"/>
        <w:suppressAutoHyphens w:val="false"/>
        <w:ind w:firstLine="567" w:right="57"/>
        <w:jc w:val="both"/>
        <w:rPr>
          <w:sz w:val="27"/>
          <w:szCs w:val="27"/>
        </w:rPr>
      </w:pPr>
      <w:r>
        <w:rPr>
          <w:bCs w:val="false"/>
          <w:sz w:val="27"/>
          <w:szCs w:val="27"/>
          <w:highlight w:val="white"/>
        </w:rPr>
        <w:t>1.1.</w:t>
      </w:r>
      <w:r>
        <w:rPr>
          <w:spacing w:val="-1"/>
          <w:sz w:val="27"/>
          <w:szCs w:val="27"/>
        </w:rPr>
        <w:t xml:space="preserve"> 23 травня 2018 року підписано кредитний договір між </w:t>
      </w:r>
      <w:r>
        <w:rPr>
          <w:sz w:val="27"/>
          <w:szCs w:val="27"/>
          <w:lang w:eastAsia="uk-UA"/>
        </w:rPr>
        <w:t xml:space="preserve">Північною Екологічною Фінансовою Корпорацією (НЕФКО) та Луцькою міською радою </w:t>
      </w:r>
    </w:p>
    <w:p>
      <w:pPr>
        <w:pStyle w:val="Normal"/>
        <w:widowControl w:val="false"/>
        <w:shd w:val="clear" w:color="auto" w:fill="FFFFFF"/>
        <w:suppressAutoHyphens w:val="false"/>
        <w:ind w:firstLine="567"/>
        <w:jc w:val="both"/>
        <w:rPr>
          <w:sz w:val="27"/>
          <w:szCs w:val="27"/>
        </w:rPr>
      </w:pPr>
      <w:r>
        <w:rPr>
          <w:sz w:val="27"/>
          <w:szCs w:val="27"/>
        </w:rPr>
        <w:t>на наступних умовах:</w:t>
      </w:r>
    </w:p>
    <w:p>
      <w:pPr>
        <w:pStyle w:val="Normal"/>
        <w:widowControl w:val="false"/>
        <w:shd w:val="clear" w:color="auto" w:fill="FFFFFF"/>
        <w:suppressAutoHyphens w:val="false"/>
        <w:ind w:firstLine="567"/>
        <w:jc w:val="both"/>
        <w:rPr>
          <w:sz w:val="27"/>
          <w:szCs w:val="27"/>
        </w:rPr>
      </w:pPr>
      <w:r>
        <w:rPr>
          <w:sz w:val="27"/>
          <w:szCs w:val="27"/>
        </w:rPr>
        <w:t>- вид запозичення – зовнішній кредит;</w:t>
      </w:r>
    </w:p>
    <w:p>
      <w:pPr>
        <w:pStyle w:val="Normal"/>
        <w:widowControl w:val="false"/>
        <w:shd w:val="clear" w:color="auto" w:fill="FFFFFF"/>
        <w:tabs>
          <w:tab w:val="clear" w:pos="708"/>
          <w:tab w:val="left" w:pos="0" w:leader="none"/>
        </w:tabs>
        <w:suppressAutoHyphens w:val="false"/>
        <w:ind w:firstLine="567"/>
        <w:jc w:val="both"/>
        <w:rPr>
          <w:sz w:val="27"/>
          <w:szCs w:val="27"/>
        </w:rPr>
      </w:pPr>
      <w:r>
        <w:rPr>
          <w:sz w:val="27"/>
          <w:szCs w:val="27"/>
        </w:rPr>
        <w:t>- сума кредиту: 5 000 000,0 євро;</w:t>
      </w:r>
    </w:p>
    <w:p>
      <w:pPr>
        <w:pStyle w:val="Normal"/>
        <w:widowControl w:val="false"/>
        <w:shd w:val="clear" w:color="auto" w:fill="FFFFFF"/>
        <w:tabs>
          <w:tab w:val="clear" w:pos="708"/>
          <w:tab w:val="left" w:pos="0" w:leader="none"/>
        </w:tabs>
        <w:suppressAutoHyphens w:val="false"/>
        <w:ind w:firstLine="567"/>
        <w:jc w:val="both"/>
        <w:rPr>
          <w:sz w:val="27"/>
          <w:szCs w:val="27"/>
        </w:rPr>
      </w:pPr>
      <w:r>
        <w:rPr>
          <w:sz w:val="27"/>
          <w:szCs w:val="27"/>
        </w:rPr>
        <w:t>- пільговий період – 30 місяців від підписання кредитного договору;</w:t>
      </w:r>
    </w:p>
    <w:p>
      <w:pPr>
        <w:pStyle w:val="Normal"/>
        <w:widowControl w:val="false"/>
        <w:shd w:val="clear" w:color="auto" w:fill="FFFFFF"/>
        <w:suppressAutoHyphens w:val="false"/>
        <w:ind w:firstLine="567" w:right="22"/>
        <w:jc w:val="both"/>
        <w:rPr>
          <w:spacing w:val="-1"/>
          <w:sz w:val="27"/>
          <w:szCs w:val="27"/>
        </w:rPr>
      </w:pPr>
      <w:r>
        <w:rPr>
          <w:spacing w:val="-1"/>
          <w:sz w:val="27"/>
          <w:szCs w:val="27"/>
        </w:rPr>
        <w:t>- термін запозичення – 9 років від підписання кредитного договору;</w:t>
      </w:r>
    </w:p>
    <w:p>
      <w:pPr>
        <w:pStyle w:val="Normal"/>
        <w:widowControl w:val="false"/>
        <w:shd w:val="clear" w:color="auto" w:fill="FFFFFF"/>
        <w:suppressAutoHyphens w:val="false"/>
        <w:ind w:firstLine="567" w:right="22"/>
        <w:jc w:val="both"/>
        <w:rPr>
          <w:sz w:val="27"/>
          <w:szCs w:val="27"/>
        </w:rPr>
      </w:pPr>
      <w:r>
        <w:rPr>
          <w:spacing w:val="-1"/>
          <w:sz w:val="27"/>
          <w:szCs w:val="27"/>
        </w:rPr>
        <w:t xml:space="preserve">- погашення кредиту: буде здійснюватися рівними піврічними   </w:t>
      </w:r>
      <w:r>
        <w:rPr>
          <w:sz w:val="27"/>
          <w:szCs w:val="27"/>
        </w:rPr>
        <w:t xml:space="preserve">платежами, починаючи  після завершення періоду відстрочки; </w:t>
      </w:r>
    </w:p>
    <w:p>
      <w:pPr>
        <w:pStyle w:val="Normal"/>
        <w:widowControl w:val="false"/>
        <w:shd w:val="clear" w:color="auto" w:fill="FFFFFF"/>
        <w:suppressAutoHyphens w:val="false"/>
        <w:ind w:firstLine="567" w:right="22"/>
        <w:jc w:val="both"/>
        <w:rPr>
          <w:sz w:val="27"/>
          <w:szCs w:val="27"/>
        </w:rPr>
      </w:pPr>
      <w:r>
        <w:rPr>
          <w:sz w:val="27"/>
          <w:szCs w:val="27"/>
        </w:rPr>
        <w:t xml:space="preserve">- відсоткова ставка: 6 місячна «Euribor» плюс маржа 6,25% річних. </w:t>
      </w:r>
    </w:p>
    <w:p>
      <w:pPr>
        <w:pStyle w:val="Normal"/>
        <w:widowControl w:val="false"/>
        <w:shd w:val="clear" w:color="auto" w:fill="FFFFFF"/>
        <w:suppressAutoHyphens w:val="false"/>
        <w:ind w:firstLine="567" w:right="57"/>
        <w:jc w:val="both"/>
        <w:rPr>
          <w:sz w:val="27"/>
          <w:szCs w:val="27"/>
        </w:rPr>
      </w:pPr>
      <w:r>
        <w:rPr>
          <w:sz w:val="27"/>
          <w:szCs w:val="27"/>
        </w:rPr>
        <w:t>Майнове або інше забезпечення виконання зобов’язань за запозиченням не надається.</w:t>
      </w:r>
    </w:p>
    <w:p>
      <w:pPr>
        <w:pStyle w:val="Normal"/>
        <w:widowControl w:val="false"/>
        <w:suppressAutoHyphens w:val="false"/>
        <w:ind w:firstLine="567"/>
        <w:jc w:val="both"/>
        <w:rPr>
          <w:sz w:val="27"/>
          <w:szCs w:val="27"/>
        </w:rPr>
      </w:pPr>
      <w:r>
        <w:rPr>
          <w:sz w:val="27"/>
          <w:szCs w:val="27"/>
        </w:rPr>
        <w:t xml:space="preserve">Мета проєкту – фінансування впровадження заходів проєкту </w:t>
      </w:r>
      <w:r>
        <w:rPr>
          <w:spacing w:val="-2"/>
          <w:sz w:val="27"/>
          <w:szCs w:val="27"/>
        </w:rPr>
        <w:t>«Е</w:t>
      </w:r>
      <w:r>
        <w:rPr>
          <w:sz w:val="27"/>
          <w:szCs w:val="27"/>
        </w:rPr>
        <w:t>нергоефективність в громадських будівлях міста Луцька</w:t>
      </w:r>
      <w:r>
        <w:rPr>
          <w:spacing w:val="-2"/>
          <w:sz w:val="27"/>
          <w:szCs w:val="27"/>
        </w:rPr>
        <w:t>»</w:t>
      </w:r>
      <w:r>
        <w:rPr>
          <w:sz w:val="27"/>
          <w:szCs w:val="27"/>
        </w:rPr>
        <w:t>, спрямованих на скорочення обсягів споживання теплової і електричної енергії  та зниження бюджетних видатків на забезпечення закладів бюджетної сфери енергоносіями.</w:t>
      </w:r>
    </w:p>
    <w:p>
      <w:pPr>
        <w:pStyle w:val="Normal"/>
        <w:widowControl w:val="false"/>
        <w:suppressAutoHyphens w:val="false"/>
        <w:ind w:firstLine="567" w:right="283"/>
        <w:jc w:val="both"/>
        <w:rPr>
          <w:sz w:val="27"/>
          <w:szCs w:val="27"/>
        </w:rPr>
      </w:pPr>
      <w:r>
        <w:rPr>
          <w:sz w:val="27"/>
          <w:szCs w:val="27"/>
        </w:rPr>
        <w:t>Отримано 5 000 000,0 євро.</w:t>
      </w:r>
    </w:p>
    <w:p>
      <w:pPr>
        <w:pStyle w:val="Normal"/>
        <w:widowControl w:val="false"/>
        <w:suppressAutoHyphens w:val="false"/>
        <w:ind w:firstLine="567" w:right="283"/>
        <w:jc w:val="both"/>
        <w:rPr>
          <w:b w:val="false"/>
          <w:bCs w:val="false"/>
        </w:rPr>
      </w:pPr>
      <w:r>
        <w:rPr>
          <w:rFonts w:eastAsia="Times New Roman" w:cs="Times New Roman"/>
          <w:b w:val="false"/>
          <w:bCs w:val="false"/>
          <w:color w:val="auto"/>
          <w:kern w:val="0"/>
          <w:sz w:val="27"/>
          <w:szCs w:val="27"/>
          <w:lang w:val="uk-UA" w:eastAsia="zh-CN" w:bidi="ar-SA"/>
        </w:rPr>
        <w:t>В грудні 2023 року достроково погашено основну суму боргу в сумі 2 724 570,74 євро. Станом на 01.01.2024 заборгованість по кредитному договору відсутня.</w:t>
      </w:r>
    </w:p>
    <w:p>
      <w:pPr>
        <w:pStyle w:val="Normal"/>
        <w:widowControl w:val="false"/>
        <w:suppressAutoHyphens w:val="false"/>
        <w:ind w:firstLine="567" w:right="283"/>
        <w:jc w:val="both"/>
        <w:rPr>
          <w:bCs w:val="false"/>
          <w:sz w:val="27"/>
          <w:szCs w:val="27"/>
          <w:highlight w:val="white"/>
        </w:rPr>
      </w:pPr>
      <w:r>
        <w:rPr>
          <w:bCs w:val="false"/>
          <w:sz w:val="27"/>
          <w:szCs w:val="27"/>
          <w:highlight w:val="white"/>
        </w:rPr>
        <w:t xml:space="preserve">1.2. 28 грудня 2018 року укладено угоду про передачу коштів позики №13010-05/252 між Міністерством фінансів України, Міністерством інфраструктури України та Луцькою міською радою (далі – Угода), згідно якої Мінфін у співпраці з Мінінфраструктури, надає Луцькій міській раді позику у розмірі до 4 360 000,0 євро. </w:t>
      </w:r>
    </w:p>
    <w:p>
      <w:pPr>
        <w:pStyle w:val="Normal"/>
        <w:widowControl w:val="false"/>
        <w:shd w:val="clear" w:color="auto" w:fill="FFFFFF"/>
        <w:suppressAutoHyphens w:val="false"/>
        <w:ind w:firstLine="567"/>
        <w:jc w:val="both"/>
        <w:rPr>
          <w:sz w:val="27"/>
          <w:szCs w:val="27"/>
        </w:rPr>
      </w:pPr>
      <w:r>
        <w:rPr>
          <w:sz w:val="27"/>
          <w:szCs w:val="27"/>
        </w:rPr>
        <w:t>Запозичення здійснюються на наступних умовах:</w:t>
      </w:r>
    </w:p>
    <w:p>
      <w:pPr>
        <w:pStyle w:val="Normal"/>
        <w:widowControl w:val="false"/>
        <w:shd w:val="clear" w:color="auto" w:fill="FFFFFF"/>
        <w:suppressAutoHyphens w:val="false"/>
        <w:ind w:firstLine="567"/>
        <w:jc w:val="both"/>
        <w:rPr>
          <w:sz w:val="27"/>
          <w:szCs w:val="27"/>
        </w:rPr>
      </w:pPr>
      <w:r>
        <w:rPr>
          <w:sz w:val="27"/>
          <w:szCs w:val="27"/>
        </w:rPr>
        <w:t>- вид запозичення – зовнішній кредит;</w:t>
      </w:r>
    </w:p>
    <w:p>
      <w:pPr>
        <w:pStyle w:val="Normal"/>
        <w:widowControl w:val="false"/>
        <w:shd w:val="clear" w:color="auto" w:fill="FFFFFF"/>
        <w:suppressAutoHyphens w:val="false"/>
        <w:ind w:firstLine="567"/>
        <w:jc w:val="both"/>
        <w:rPr>
          <w:sz w:val="27"/>
          <w:szCs w:val="27"/>
        </w:rPr>
      </w:pPr>
      <w:r>
        <w:rPr>
          <w:sz w:val="27"/>
          <w:szCs w:val="27"/>
        </w:rPr>
        <w:t xml:space="preserve">- форма здійснення запозичення – </w:t>
      </w:r>
      <w:r>
        <w:rPr>
          <w:sz w:val="27"/>
          <w:szCs w:val="27"/>
          <w:shd w:fill="FFFFFF" w:val="clear"/>
        </w:rPr>
        <w:t>укладення угоди про передачу коштів позики між Міністерством інфраструктури України, Міністерством фінансів України та Луцькою міською радою відповідно до Фінансової угоди між Україною та Європейським інвестиційним банком підписаної 11.11.2016 (ратифікована Законом України від 12.07.2017 №2009-VIII), за проєктом «Міський громадський транспорт України»;</w:t>
      </w:r>
    </w:p>
    <w:p>
      <w:pPr>
        <w:pStyle w:val="Normal"/>
        <w:widowControl w:val="false"/>
        <w:shd w:val="clear" w:color="auto" w:fill="FFFFFF"/>
        <w:tabs>
          <w:tab w:val="clear" w:pos="708"/>
          <w:tab w:val="left" w:pos="0" w:leader="none"/>
        </w:tabs>
        <w:suppressAutoHyphens w:val="false"/>
        <w:ind w:firstLine="567"/>
        <w:jc w:val="both"/>
        <w:rPr>
          <w:sz w:val="27"/>
          <w:szCs w:val="27"/>
        </w:rPr>
      </w:pPr>
      <w:r>
        <w:rPr>
          <w:sz w:val="27"/>
          <w:szCs w:val="27"/>
        </w:rPr>
        <w:t>-</w:t>
      </w:r>
      <w:r>
        <w:rPr>
          <w:sz w:val="27"/>
          <w:szCs w:val="27"/>
          <w:lang w:val="en-US"/>
        </w:rPr>
        <w:t> </w:t>
      </w:r>
      <w:r>
        <w:rPr>
          <w:sz w:val="27"/>
          <w:szCs w:val="27"/>
        </w:rPr>
        <w:t>пільговий період – 60 місяців від підписання кредитного договору;</w:t>
      </w:r>
    </w:p>
    <w:p>
      <w:pPr>
        <w:pStyle w:val="Normal"/>
        <w:widowControl w:val="false"/>
        <w:shd w:val="clear" w:color="auto" w:fill="FFFFFF"/>
        <w:suppressAutoHyphens w:val="false"/>
        <w:ind w:firstLine="567" w:right="22"/>
        <w:jc w:val="both"/>
        <w:rPr>
          <w:spacing w:val="-1"/>
          <w:sz w:val="27"/>
          <w:szCs w:val="27"/>
        </w:rPr>
      </w:pPr>
      <w:r>
        <w:rPr>
          <w:spacing w:val="-1"/>
          <w:sz w:val="27"/>
          <w:szCs w:val="27"/>
        </w:rPr>
        <w:t>- строк запозичення – 20 років від підписання кредитного договору;</w:t>
      </w:r>
    </w:p>
    <w:p>
      <w:pPr>
        <w:pStyle w:val="Normal"/>
        <w:widowControl w:val="false"/>
        <w:shd w:val="clear" w:color="auto" w:fill="FFFFFF"/>
        <w:suppressAutoHyphens w:val="false"/>
        <w:ind w:firstLine="567" w:right="22"/>
        <w:jc w:val="both"/>
        <w:rPr>
          <w:sz w:val="27"/>
          <w:szCs w:val="27"/>
        </w:rPr>
      </w:pPr>
      <w:r>
        <w:rPr>
          <w:spacing w:val="-1"/>
          <w:sz w:val="27"/>
          <w:szCs w:val="27"/>
        </w:rPr>
        <w:t xml:space="preserve">- погашення кредиту: буде здійснюватися рівними піврічними </w:t>
      </w:r>
      <w:r>
        <w:rPr>
          <w:sz w:val="27"/>
          <w:szCs w:val="27"/>
        </w:rPr>
        <w:t xml:space="preserve">платежами, починаючи після завершення періоду відстрочки; </w:t>
      </w:r>
    </w:p>
    <w:p>
      <w:pPr>
        <w:pStyle w:val="Normal"/>
        <w:widowControl w:val="false"/>
        <w:shd w:val="clear" w:color="auto" w:fill="FFFFFF"/>
        <w:suppressAutoHyphens w:val="false"/>
        <w:ind w:firstLine="567" w:right="22"/>
        <w:jc w:val="both"/>
        <w:rPr>
          <w:sz w:val="27"/>
          <w:szCs w:val="27"/>
        </w:rPr>
      </w:pPr>
      <w:r>
        <w:rPr>
          <w:sz w:val="27"/>
          <w:szCs w:val="27"/>
        </w:rPr>
        <w:t xml:space="preserve">- відсоткова ставка: до 2% річних. </w:t>
      </w:r>
    </w:p>
    <w:p>
      <w:pPr>
        <w:pStyle w:val="Normal"/>
        <w:widowControl w:val="false"/>
        <w:shd w:val="clear" w:color="auto" w:fill="FFFFFF"/>
        <w:suppressAutoHyphens w:val="false"/>
        <w:ind w:firstLine="567" w:right="57"/>
        <w:jc w:val="both"/>
        <w:rPr>
          <w:sz w:val="27"/>
          <w:szCs w:val="27"/>
        </w:rPr>
      </w:pPr>
      <w:r>
        <w:rPr>
          <w:sz w:val="27"/>
          <w:szCs w:val="27"/>
        </w:rPr>
        <w:t>Майнове або інше забезпечення виконання зобов’язань за запозиченням не надається.</w:t>
      </w:r>
    </w:p>
    <w:p>
      <w:pPr>
        <w:pStyle w:val="Normal"/>
        <w:widowControl w:val="false"/>
        <w:suppressAutoHyphens w:val="false"/>
        <w:ind w:firstLine="567"/>
        <w:jc w:val="both"/>
        <w:rPr>
          <w:sz w:val="27"/>
          <w:szCs w:val="27"/>
        </w:rPr>
      </w:pPr>
      <w:r>
        <w:rPr>
          <w:sz w:val="27"/>
          <w:szCs w:val="27"/>
        </w:rPr>
        <w:t>Мета проєкту – комплексне вирішення проблеми пасажирських перевезень, задоволення потреби лучан у якісному, сучасному, комфортному громадському транспорті, розвантаження центральної частини міста від надлишку автобусів, зменшення заторів, істотне поліпшення екологічної ситуації в місті, скорочення викидів СО</w:t>
      </w:r>
      <w:r>
        <w:rPr>
          <w:sz w:val="27"/>
          <w:szCs w:val="27"/>
          <w:vertAlign w:val="superscript"/>
        </w:rPr>
        <w:t>2</w:t>
      </w:r>
      <w:r>
        <w:rPr>
          <w:sz w:val="27"/>
          <w:szCs w:val="27"/>
        </w:rPr>
        <w:t>.</w:t>
      </w:r>
    </w:p>
    <w:p>
      <w:pPr>
        <w:pStyle w:val="Normal"/>
        <w:widowControl w:val="false"/>
        <w:suppressAutoHyphens w:val="false"/>
        <w:ind w:firstLine="567"/>
        <w:jc w:val="both"/>
        <w:rPr>
          <w:sz w:val="27"/>
          <w:szCs w:val="27"/>
        </w:rPr>
      </w:pPr>
      <w:r>
        <w:rPr>
          <w:sz w:val="27"/>
          <w:szCs w:val="27"/>
        </w:rPr>
        <w:t xml:space="preserve">Отримано </w:t>
      </w:r>
      <w:r>
        <w:rPr>
          <w:rFonts w:eastAsia="Times New Roman" w:cs="Times New Roman"/>
          <w:bCs/>
          <w:color w:val="auto"/>
          <w:kern w:val="0"/>
          <w:sz w:val="27"/>
          <w:szCs w:val="27"/>
          <w:lang w:val="uk-UA" w:eastAsia="zh-CN" w:bidi="ar-SA"/>
        </w:rPr>
        <w:t>4 218 026,0</w:t>
      </w:r>
      <w:r>
        <w:rPr>
          <w:sz w:val="27"/>
          <w:szCs w:val="27"/>
        </w:rPr>
        <w:t xml:space="preserve">  євро.</w:t>
      </w:r>
    </w:p>
    <w:p>
      <w:pPr>
        <w:pStyle w:val="Normal"/>
        <w:widowControl w:val="false"/>
        <w:suppressAutoHyphens w:val="false"/>
        <w:ind w:firstLine="567"/>
        <w:jc w:val="both"/>
        <w:rPr>
          <w:sz w:val="27"/>
          <w:szCs w:val="27"/>
        </w:rPr>
      </w:pPr>
      <w:r>
        <w:rPr>
          <w:sz w:val="27"/>
          <w:szCs w:val="27"/>
        </w:rPr>
        <w:t xml:space="preserve">Станом на 01.01.2024 місцевий борг складає </w:t>
      </w:r>
      <w:r>
        <w:rPr>
          <w:rFonts w:eastAsia="Times New Roman" w:cs="Times New Roman"/>
          <w:bCs/>
          <w:sz w:val="27"/>
          <w:szCs w:val="27"/>
          <w:lang w:bidi="ar-SA"/>
        </w:rPr>
        <w:t>1</w:t>
      </w:r>
      <w:r>
        <w:rPr>
          <w:rFonts w:eastAsia="Times New Roman" w:cs="Times New Roman"/>
          <w:bCs/>
          <w:color w:val="auto"/>
          <w:kern w:val="0"/>
          <w:sz w:val="27"/>
          <w:szCs w:val="27"/>
          <w:lang w:val="uk-UA" w:eastAsia="zh-CN" w:bidi="ar-SA"/>
        </w:rPr>
        <w:t>39 052 741,35</w:t>
      </w:r>
      <w:r>
        <w:rPr>
          <w:sz w:val="27"/>
          <w:szCs w:val="27"/>
        </w:rPr>
        <w:t xml:space="preserve">  грн.</w:t>
      </w:r>
    </w:p>
    <w:p>
      <w:pPr>
        <w:pStyle w:val="Normal"/>
        <w:widowControl w:val="false"/>
        <w:suppressAutoHyphens w:val="false"/>
        <w:ind w:firstLine="567"/>
        <w:jc w:val="both"/>
        <w:rPr>
          <w:sz w:val="27"/>
          <w:szCs w:val="27"/>
        </w:rPr>
      </w:pPr>
      <w:r>
        <w:rPr>
          <w:sz w:val="27"/>
          <w:szCs w:val="27"/>
        </w:rPr>
        <w:t xml:space="preserve"> </w:t>
      </w:r>
      <w:r>
        <w:rPr>
          <w:sz w:val="27"/>
          <w:szCs w:val="27"/>
        </w:rPr>
        <w:t xml:space="preserve">1.3.У грудні 2020 року було укладено </w:t>
      </w:r>
      <w:r>
        <w:rPr>
          <w:sz w:val="27"/>
          <w:szCs w:val="27"/>
          <w:lang w:eastAsia="uk-UA"/>
        </w:rPr>
        <w:t xml:space="preserve">кредитний договір між </w:t>
      </w:r>
      <w:r>
        <w:rPr>
          <w:sz w:val="27"/>
          <w:szCs w:val="27"/>
          <w:lang w:val="ru-RU" w:eastAsia="uk-UA"/>
        </w:rPr>
        <w:t>Північною</w:t>
      </w:r>
      <w:r>
        <w:rPr>
          <w:sz w:val="27"/>
          <w:szCs w:val="27"/>
          <w:lang w:eastAsia="uk-UA"/>
        </w:rPr>
        <w:t xml:space="preserve"> Екологічною Фінансовою Корпорацією (НЕФКО) та Луцькою міською радою в сумі 1 600,0 тис. євро.</w:t>
      </w:r>
    </w:p>
    <w:p>
      <w:pPr>
        <w:pStyle w:val="Normal"/>
        <w:widowControl w:val="false"/>
        <w:suppressAutoHyphens w:val="false"/>
        <w:ind w:firstLine="567"/>
        <w:jc w:val="both"/>
        <w:rPr>
          <w:sz w:val="27"/>
          <w:szCs w:val="27"/>
        </w:rPr>
      </w:pPr>
      <w:r>
        <w:rPr>
          <w:sz w:val="27"/>
          <w:szCs w:val="27"/>
          <w:lang w:eastAsia="uk-UA"/>
        </w:rPr>
        <w:t>Метою проєкту є ре</w:t>
      </w:r>
      <w:r>
        <w:rPr>
          <w:rStyle w:val="mediumtext1"/>
          <w:sz w:val="27"/>
          <w:szCs w:val="27"/>
          <w:lang w:eastAsia="uk-UA"/>
        </w:rPr>
        <w:t>алізація заходів щодо заміни насосів на підвищувальних водонасосних станціях, встановлення засобів обліку холодної води у багатоквартирних житлових будинках та заміна насосів на чотирьох каналізаційних насосних станціях, що призведе до скорочення споживання електричної енергії, зменшення втрат води та підвищення стійкості та ефективності роботи систем водопостачання та каналізації в цілому, а також покращить якість послуг, що надаються населенню міста.</w:t>
      </w:r>
    </w:p>
    <w:p>
      <w:pPr>
        <w:pStyle w:val="Normal"/>
        <w:widowControl w:val="false"/>
        <w:suppressAutoHyphens w:val="false"/>
        <w:ind w:firstLine="567"/>
        <w:jc w:val="both"/>
        <w:rPr>
          <w:sz w:val="27"/>
          <w:szCs w:val="27"/>
        </w:rPr>
      </w:pPr>
      <w:r>
        <w:rPr>
          <w:rStyle w:val="mediumtext1"/>
          <w:sz w:val="27"/>
          <w:szCs w:val="27"/>
          <w:lang w:eastAsia="uk-UA"/>
        </w:rPr>
        <w:t xml:space="preserve">Умови запозичення: </w:t>
      </w:r>
    </w:p>
    <w:p>
      <w:pPr>
        <w:pStyle w:val="Normal"/>
        <w:widowControl w:val="false"/>
        <w:suppressAutoHyphens w:val="false"/>
        <w:ind w:firstLine="567"/>
        <w:jc w:val="both"/>
        <w:rPr>
          <w:sz w:val="27"/>
          <w:szCs w:val="27"/>
        </w:rPr>
      </w:pPr>
      <w:r>
        <w:rPr>
          <w:rStyle w:val="mediumtext1"/>
          <w:sz w:val="27"/>
          <w:szCs w:val="27"/>
          <w:lang w:eastAsia="uk-UA"/>
        </w:rPr>
        <w:t>- вид запозичення – зовнішній кредит;</w:t>
      </w:r>
    </w:p>
    <w:p>
      <w:pPr>
        <w:pStyle w:val="Normal"/>
        <w:widowControl w:val="false"/>
        <w:suppressAutoHyphens w:val="false"/>
        <w:ind w:firstLine="567"/>
        <w:jc w:val="both"/>
        <w:rPr>
          <w:sz w:val="27"/>
          <w:szCs w:val="27"/>
        </w:rPr>
      </w:pPr>
      <w:r>
        <w:rPr>
          <w:sz w:val="27"/>
          <w:szCs w:val="27"/>
        </w:rPr>
        <w:t>-  сума кредиту -  1 600 000 євро;</w:t>
      </w:r>
    </w:p>
    <w:p>
      <w:pPr>
        <w:pStyle w:val="Normal"/>
        <w:widowControl w:val="false"/>
        <w:suppressAutoHyphens w:val="false"/>
        <w:ind w:firstLine="567"/>
        <w:jc w:val="both"/>
        <w:rPr>
          <w:sz w:val="27"/>
          <w:szCs w:val="27"/>
        </w:rPr>
      </w:pPr>
      <w:r>
        <w:rPr>
          <w:sz w:val="27"/>
          <w:szCs w:val="27"/>
        </w:rPr>
        <w:t>- пільговий період – 30 місяців від підписання кредитного договору;</w:t>
      </w:r>
    </w:p>
    <w:p>
      <w:pPr>
        <w:pStyle w:val="Normal"/>
        <w:widowControl w:val="false"/>
        <w:suppressAutoHyphens w:val="false"/>
        <w:ind w:firstLine="567"/>
        <w:jc w:val="both"/>
        <w:rPr>
          <w:sz w:val="27"/>
          <w:szCs w:val="27"/>
        </w:rPr>
      </w:pPr>
      <w:r>
        <w:rPr>
          <w:spacing w:val="-1"/>
          <w:sz w:val="27"/>
          <w:szCs w:val="27"/>
        </w:rPr>
        <w:t>- строк запозичення – 10 років від підписання кредитного договору;</w:t>
      </w:r>
    </w:p>
    <w:p>
      <w:pPr>
        <w:pStyle w:val="Normal"/>
        <w:widowControl w:val="false"/>
        <w:suppressAutoHyphens w:val="false"/>
        <w:ind w:firstLine="567"/>
        <w:jc w:val="both"/>
        <w:rPr>
          <w:sz w:val="27"/>
          <w:szCs w:val="27"/>
        </w:rPr>
      </w:pPr>
      <w:r>
        <w:rPr>
          <w:spacing w:val="-1"/>
          <w:sz w:val="27"/>
          <w:szCs w:val="27"/>
        </w:rPr>
        <w:t xml:space="preserve">- погашення кредиту: буде здійснюватися рівними піврічними   </w:t>
      </w:r>
      <w:r>
        <w:rPr>
          <w:sz w:val="27"/>
          <w:szCs w:val="27"/>
        </w:rPr>
        <w:t>платежами, починаючи після завершення періоду відстрочки;</w:t>
      </w:r>
    </w:p>
    <w:p>
      <w:pPr>
        <w:pStyle w:val="Normal"/>
        <w:widowControl w:val="false"/>
        <w:suppressAutoHyphens w:val="false"/>
        <w:ind w:firstLine="567"/>
        <w:jc w:val="both"/>
        <w:rPr>
          <w:sz w:val="27"/>
          <w:szCs w:val="27"/>
        </w:rPr>
      </w:pPr>
      <w:r>
        <w:rPr>
          <w:rStyle w:val="mediumtext1"/>
          <w:sz w:val="27"/>
          <w:szCs w:val="27"/>
          <w:lang w:eastAsia="uk-UA"/>
        </w:rPr>
        <w:t>- відсоткова ставка: фіксований відсоток: 6% річних.</w:t>
      </w:r>
    </w:p>
    <w:p>
      <w:pPr>
        <w:pStyle w:val="Normal"/>
        <w:widowControl w:val="false"/>
        <w:suppressAutoHyphens w:val="false"/>
        <w:ind w:firstLine="567"/>
        <w:jc w:val="both"/>
        <w:rPr>
          <w:sz w:val="27"/>
          <w:szCs w:val="27"/>
        </w:rPr>
      </w:pPr>
      <w:r>
        <w:rPr>
          <w:sz w:val="27"/>
          <w:szCs w:val="27"/>
        </w:rPr>
        <w:t xml:space="preserve">Отримано </w:t>
      </w:r>
      <w:r>
        <w:rPr>
          <w:rFonts w:eastAsia="Times New Roman" w:cs="Times New Roman"/>
          <w:bCs/>
          <w:color w:val="auto"/>
          <w:kern w:val="0"/>
          <w:sz w:val="27"/>
          <w:szCs w:val="27"/>
          <w:lang w:val="uk-UA" w:eastAsia="zh-CN" w:bidi="ar-SA"/>
        </w:rPr>
        <w:t>207 000</w:t>
      </w:r>
      <w:r>
        <w:rPr>
          <w:sz w:val="27"/>
          <w:szCs w:val="27"/>
        </w:rPr>
        <w:t xml:space="preserve"> євро.</w:t>
      </w:r>
    </w:p>
    <w:p>
      <w:pPr>
        <w:pStyle w:val="Normal"/>
        <w:widowControl w:val="false"/>
        <w:suppressAutoHyphens w:val="false"/>
        <w:ind w:firstLine="567"/>
        <w:jc w:val="both"/>
        <w:rPr>
          <w:sz w:val="27"/>
          <w:szCs w:val="27"/>
        </w:rPr>
      </w:pPr>
      <w:r>
        <w:rPr>
          <w:sz w:val="27"/>
          <w:szCs w:val="27"/>
        </w:rPr>
        <w:t>В грудні місяці достроково погашено основну суму боргу в сумі 193 200 євро. Станом на 01.01.2024 заборгованість за кредитним договором відсутня.</w:t>
      </w:r>
    </w:p>
    <w:p>
      <w:pPr>
        <w:pStyle w:val="Normal"/>
        <w:ind w:firstLine="567"/>
        <w:jc w:val="both"/>
        <w:rPr/>
      </w:pPr>
      <w:r>
        <w:rPr>
          <w:sz w:val="28"/>
          <w:szCs w:val="28"/>
        </w:rPr>
        <w:t>1.4. Для впровадження проєкту «Реалізація інфраструктурних проєктів у сфері водопостачання та водовідведення», метою якого є відновлення якісних характеристик роботи очисних споруд каналізації та забезпечення сталої роботи каналізаційного колектора, зниження його аварійності для недопущення екологічної катастрофи, забезпечення відповідності якості питної води санітарно-гігієнічним нормам, було підписано кредитні договори 28.12.2023 № 23-30</w:t>
      </w:r>
      <w:r>
        <w:rPr>
          <w:sz w:val="28"/>
          <w:szCs w:val="28"/>
          <w:lang w:val="en-US"/>
        </w:rPr>
        <w:t>KN</w:t>
      </w:r>
      <w:r>
        <w:rPr>
          <w:sz w:val="28"/>
          <w:szCs w:val="28"/>
        </w:rPr>
        <w:t>0006, № 23-30</w:t>
      </w:r>
      <w:r>
        <w:rPr>
          <w:sz w:val="28"/>
          <w:szCs w:val="28"/>
          <w:lang w:val="en-US"/>
        </w:rPr>
        <w:t>KN</w:t>
      </w:r>
      <w:r>
        <w:rPr>
          <w:sz w:val="28"/>
          <w:szCs w:val="28"/>
        </w:rPr>
        <w:t>0007 на суму 10 000,0 тис. євро.</w:t>
      </w:r>
    </w:p>
    <w:p>
      <w:pPr>
        <w:pStyle w:val="Normal"/>
        <w:tabs>
          <w:tab w:val="clear" w:pos="708"/>
          <w:tab w:val="left" w:pos="851" w:leader="none"/>
        </w:tabs>
        <w:jc w:val="both"/>
        <w:rPr>
          <w:sz w:val="28"/>
          <w:szCs w:val="28"/>
        </w:rPr>
      </w:pPr>
      <w:r>
        <w:rPr>
          <w:sz w:val="28"/>
          <w:szCs w:val="28"/>
        </w:rPr>
        <w:tab/>
        <w:t>Місцеве запозичення здійснюються шляхом залучення коштів кредиту у формі невідновлюваної кредитної лінії від акціонерного товариства «Державний експортно-імпортний банк України» (далі – АТ «Укрексімбанк») на таких умовах:</w:t>
      </w:r>
    </w:p>
    <w:p>
      <w:pPr>
        <w:pStyle w:val="ListParagraph"/>
        <w:ind w:firstLine="567" w:left="0"/>
        <w:jc w:val="both"/>
        <w:rPr>
          <w:rFonts w:ascii="Times New Roman" w:hAnsi="Times New Roman"/>
          <w:spacing w:val="-10"/>
          <w:sz w:val="28"/>
          <w:szCs w:val="28"/>
          <w:lang w:val="uk-UA"/>
        </w:rPr>
      </w:pPr>
      <w:r>
        <w:rPr>
          <w:rFonts w:ascii="Times New Roman" w:hAnsi="Times New Roman"/>
          <w:spacing w:val="-10"/>
          <w:sz w:val="28"/>
          <w:szCs w:val="28"/>
          <w:lang w:val="uk-UA"/>
        </w:rPr>
        <w:t xml:space="preserve">розмір (основна сума боргу) та валюта кредиту – 10 000 000,00 євро </w:t>
      </w:r>
    </w:p>
    <w:p>
      <w:pPr>
        <w:pStyle w:val="ListParagraph"/>
        <w:ind w:firstLine="567" w:left="0"/>
        <w:jc w:val="both"/>
        <w:rPr>
          <w:rFonts w:ascii="Times New Roman" w:hAnsi="Times New Roman"/>
          <w:sz w:val="28"/>
          <w:szCs w:val="28"/>
          <w:lang w:val="uk-UA"/>
        </w:rPr>
      </w:pPr>
      <w:r>
        <w:rPr>
          <w:rFonts w:ascii="Times New Roman" w:hAnsi="Times New Roman"/>
          <w:spacing w:val="-4"/>
          <w:sz w:val="28"/>
          <w:szCs w:val="28"/>
          <w:lang w:val="uk-UA"/>
        </w:rPr>
        <w:t>строк – 60 місяців</w:t>
      </w:r>
      <w:r>
        <w:rPr>
          <w:rFonts w:ascii="Times New Roman" w:hAnsi="Times New Roman"/>
          <w:sz w:val="28"/>
          <w:szCs w:val="28"/>
          <w:lang w:val="uk-UA"/>
        </w:rPr>
        <w:t xml:space="preserve"> з можливістю дострокового погашення кредиту;</w:t>
      </w:r>
    </w:p>
    <w:p>
      <w:pPr>
        <w:pStyle w:val="ListParagraph"/>
        <w:ind w:firstLine="567" w:left="0"/>
        <w:jc w:val="both"/>
        <w:rPr>
          <w:rFonts w:ascii="Times New Roman" w:hAnsi="Times New Roman"/>
          <w:sz w:val="28"/>
          <w:szCs w:val="28"/>
          <w:lang w:val="uk-UA" w:eastAsia="uk-UA"/>
        </w:rPr>
      </w:pPr>
      <w:r>
        <w:rPr>
          <w:rFonts w:ascii="Times New Roman" w:hAnsi="Times New Roman"/>
          <w:sz w:val="28"/>
          <w:szCs w:val="28"/>
          <w:lang w:val="uk-UA" w:eastAsia="uk-UA"/>
        </w:rPr>
        <w:t>погашення кредиту здійснюється рівними частинами щоквартально у строки та згідно з умовами, встановленими кредитним договором, починаючи з 2024 року;</w:t>
      </w:r>
    </w:p>
    <w:p>
      <w:pPr>
        <w:pStyle w:val="ListParagraph"/>
        <w:ind w:firstLine="567" w:left="0"/>
        <w:jc w:val="both"/>
        <w:rPr>
          <w:rFonts w:ascii="Times New Roman" w:hAnsi="Times New Roman"/>
          <w:sz w:val="28"/>
          <w:szCs w:val="28"/>
          <w:lang w:val="uk-UA" w:eastAsia="uk-UA"/>
        </w:rPr>
      </w:pPr>
      <w:r>
        <w:rPr>
          <w:rFonts w:ascii="Times New Roman" w:hAnsi="Times New Roman"/>
          <w:sz w:val="28"/>
          <w:szCs w:val="28"/>
          <w:lang w:val="uk-UA" w:eastAsia="uk-UA"/>
        </w:rPr>
        <w:t>відсоткова ставка за користування кредитними коштами є змінюваною та встановлюється з урахуванням Європейської міжбанківської ставки пропозиції (EURIBOR 6М) і збільшується на розмір маржі, визначений як різниця між ставкою 6,5% та розміром EURIBOR 6М, який складеться на день, що передує дню укладання кредитного договору, але не може бути більше 8,0% річних;</w:t>
      </w:r>
    </w:p>
    <w:p>
      <w:pPr>
        <w:pStyle w:val="ListParagraph"/>
        <w:spacing w:lineRule="auto" w:line="24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сплата відсотків за користування залученими коштами здійснюється щомісячними платежами у строки та згідно з умовами, встановленими кредитним договором.</w:t>
      </w:r>
    </w:p>
    <w:p>
      <w:pPr>
        <w:pStyle w:val="Normal"/>
        <w:ind w:firstLine="567"/>
        <w:jc w:val="both"/>
        <w:rPr/>
      </w:pPr>
      <w:r>
        <w:rPr>
          <w:sz w:val="28"/>
          <w:szCs w:val="28"/>
          <w:shd w:fill="FFFFFF" w:val="clear"/>
        </w:rPr>
        <w:t xml:space="preserve">1.5. 28 грудня 2023 року укладено угоду про передачу коштів позики № 13110-05/274 між Міністерством фінансів України, Міністерством інфраструктури України та Луцькою міською радою, згідно якої Мінфін, у співпраці з Мінінфраструктури, надає Луцькій міській раді позику у розмірі до 6 330 000 євро. </w:t>
      </w:r>
      <w:r>
        <w:rPr>
          <w:sz w:val="28"/>
          <w:szCs w:val="28"/>
          <w:shd w:fill="FFFFFF" w:val="clear"/>
          <w:lang w:eastAsia="uk-UA"/>
        </w:rPr>
        <w:t>Розмір та валюта запозичення – 6 330 000 (шість мільйонів триста тридцять тисяч) євро</w:t>
      </w:r>
      <w:r>
        <w:rPr>
          <w:rFonts w:cs="Arial" w:ascii="Arial" w:hAnsi="Arial"/>
          <w:sz w:val="21"/>
          <w:szCs w:val="21"/>
          <w:shd w:fill="FFFFFF" w:val="clear"/>
          <w:lang w:eastAsia="uk-UA"/>
        </w:rPr>
        <w:t>.</w:t>
      </w:r>
    </w:p>
    <w:p>
      <w:pPr>
        <w:pStyle w:val="Normal"/>
        <w:shd w:val="clear" w:color="auto" w:fill="FFFFFF"/>
        <w:suppressAutoHyphens w:val="false"/>
        <w:ind w:firstLine="567"/>
        <w:jc w:val="both"/>
        <w:rPr/>
      </w:pPr>
      <w:r>
        <w:rPr>
          <w:rFonts w:eastAsia="Times New Roman" w:cs="Times New Roman"/>
          <w:bCs/>
          <w:color w:val="auto"/>
          <w:kern w:val="0"/>
          <w:sz w:val="28"/>
          <w:szCs w:val="28"/>
          <w:lang w:val="uk-UA" w:eastAsia="uk-UA" w:bidi="ar-SA"/>
        </w:rPr>
        <w:t>с</w:t>
      </w:r>
      <w:r>
        <w:rPr>
          <w:sz w:val="28"/>
          <w:szCs w:val="28"/>
          <w:lang w:eastAsia="uk-UA"/>
        </w:rPr>
        <w:t>трок позики  становить до 22 років для кожного траншу, включаючи пільговий період до 5 років;</w:t>
      </w:r>
      <w:r>
        <w:rPr/>
        <w:t xml:space="preserve"> </w:t>
      </w:r>
    </w:p>
    <w:p>
      <w:pPr>
        <w:pStyle w:val="Normal"/>
        <w:shd w:val="clear" w:color="auto" w:fill="FFFFFF"/>
        <w:suppressAutoHyphens w:val="false"/>
        <w:ind w:firstLine="567"/>
        <w:jc w:val="both"/>
        <w:rPr>
          <w:sz w:val="28"/>
          <w:szCs w:val="28"/>
        </w:rPr>
      </w:pPr>
      <w:r>
        <w:rPr>
          <w:rFonts w:eastAsia="Times New Roman" w:cs="Times New Roman"/>
          <w:bCs/>
          <w:color w:val="auto"/>
          <w:kern w:val="0"/>
          <w:sz w:val="28"/>
          <w:szCs w:val="28"/>
          <w:lang w:val="uk-UA" w:eastAsia="uk-UA" w:bidi="ar-SA"/>
        </w:rPr>
        <w:t>в</w:t>
      </w:r>
      <w:r>
        <w:rPr>
          <w:sz w:val="28"/>
          <w:szCs w:val="28"/>
        </w:rPr>
        <w:t xml:space="preserve">ідсоткова ставка </w:t>
      </w:r>
      <w:r>
        <w:rPr>
          <w:sz w:val="28"/>
          <w:szCs w:val="28"/>
          <w:lang w:eastAsia="uk-UA"/>
        </w:rPr>
        <w:t>- відповідно до умов Фінансової угоди</w:t>
      </w:r>
      <w:r>
        <w:rPr>
          <w:sz w:val="28"/>
          <w:szCs w:val="28"/>
        </w:rPr>
        <w:t xml:space="preserve"> визначається банком на дату вибірки траншів, зокрема; </w:t>
      </w:r>
    </w:p>
    <w:p>
      <w:pPr>
        <w:pStyle w:val="Normal"/>
        <w:shd w:val="clear" w:color="auto" w:fill="FFFFFF"/>
        <w:suppressAutoHyphens w:val="false"/>
        <w:ind w:firstLine="567"/>
        <w:jc w:val="both"/>
        <w:rPr>
          <w:sz w:val="28"/>
          <w:szCs w:val="28"/>
        </w:rPr>
      </w:pPr>
      <w:r>
        <w:rPr>
          <w:sz w:val="28"/>
          <w:szCs w:val="28"/>
        </w:rPr>
        <w:t xml:space="preserve">фіксована ставка – означає річну відсоткову ставку, визначену банком відповідно до застосовних принципів, які періодично визначаються керівними органами банку для позик із фіксованою відсотковою ставкою; </w:t>
      </w:r>
    </w:p>
    <w:p>
      <w:pPr>
        <w:pStyle w:val="Normal"/>
        <w:ind w:firstLine="567"/>
        <w:jc w:val="both"/>
        <w:rPr/>
      </w:pPr>
      <w:r>
        <w:rPr>
          <w:sz w:val="28"/>
          <w:szCs w:val="28"/>
          <w:shd w:fill="FFFFFF" w:val="clear"/>
        </w:rPr>
        <w:t xml:space="preserve">плаваюча ставка – означає плаваючу річну відсоткову ставку із фіксованим спредом, яку банк визначає для кожного наступного базисного періоду і яка дорівнює </w:t>
      </w:r>
      <w:r>
        <w:rPr>
          <w:sz w:val="28"/>
          <w:szCs w:val="28"/>
          <w:shd w:fill="FFFFFF" w:val="clear"/>
          <w:lang w:eastAsia="uk-UA"/>
        </w:rPr>
        <w:t>6-місячній міжбанківській ставці Єврозони</w:t>
      </w:r>
      <w:r>
        <w:rPr>
          <w:sz w:val="28"/>
          <w:szCs w:val="28"/>
          <w:shd w:fill="FFFFFF" w:val="clear"/>
        </w:rPr>
        <w:t xml:space="preserve"> (EURIBOR) плюс спред (до 2,3</w:t>
      </w:r>
      <w:r>
        <w:rPr>
          <w:sz w:val="28"/>
          <w:szCs w:val="28"/>
          <w:shd w:fill="FFFFFF" w:val="clear"/>
          <w:lang w:eastAsia="uk-UA"/>
        </w:rPr>
        <w:t>%</w:t>
      </w:r>
      <w:r>
        <w:rPr>
          <w:sz w:val="28"/>
          <w:szCs w:val="28"/>
          <w:shd w:fill="FFFFFF" w:val="clear"/>
        </w:rPr>
        <w:t>).</w:t>
      </w:r>
    </w:p>
    <w:p>
      <w:pPr>
        <w:pStyle w:val="Normal"/>
        <w:widowControl w:val="false"/>
        <w:shd w:val="clear" w:fill="FFFFFF"/>
        <w:suppressAutoHyphens w:val="false"/>
        <w:ind w:firstLine="567" w:right="140"/>
        <w:jc w:val="both"/>
        <w:rPr>
          <w:sz w:val="27"/>
          <w:szCs w:val="27"/>
        </w:rPr>
      </w:pPr>
      <w:r>
        <w:rPr>
          <w:sz w:val="28"/>
          <w:szCs w:val="28"/>
        </w:rPr>
        <w:t>Проєкт спрямований</w:t>
      </w:r>
      <w:r>
        <w:rPr>
          <w:sz w:val="28"/>
          <w:szCs w:val="28"/>
          <w:lang w:val="sv-SE"/>
        </w:rPr>
        <w:t xml:space="preserve"> </w:t>
      </w:r>
      <w:r>
        <w:rPr>
          <w:sz w:val="28"/>
          <w:szCs w:val="28"/>
        </w:rPr>
        <w:t>на</w:t>
      </w:r>
      <w:r>
        <w:rPr>
          <w:sz w:val="28"/>
          <w:szCs w:val="28"/>
          <w:lang w:val="sv-SE"/>
        </w:rPr>
        <w:t xml:space="preserve"> </w:t>
      </w:r>
      <w:r>
        <w:rPr>
          <w:sz w:val="28"/>
          <w:szCs w:val="28"/>
        </w:rPr>
        <w:t>комплексне вирішення проблеми пасажирських перевезень, задоволення потреб лучан у якісному, сучасному, комфортному, громадському транспорті, розвантаження центральної частини міста від надлишку автобусів, істотного поліпшення екологічної ситуації в місті та передбачає придбання 30 одиниць нових сучасних низькопідлогових тролейбусів, з яких 24 – без автономного ходу, 6 – з автономним ходом.</w:t>
      </w:r>
    </w:p>
    <w:p>
      <w:pPr>
        <w:pStyle w:val="Normal"/>
        <w:widowControl w:val="false"/>
        <w:suppressAutoHyphens w:val="false"/>
        <w:ind w:firstLine="567"/>
        <w:jc w:val="both"/>
        <w:rPr>
          <w:sz w:val="27"/>
          <w:szCs w:val="27"/>
        </w:rPr>
      </w:pPr>
      <w:r>
        <w:rPr>
          <w:sz w:val="27"/>
          <w:szCs w:val="27"/>
        </w:rPr>
      </w:r>
    </w:p>
    <w:p>
      <w:pPr>
        <w:pStyle w:val="Normal"/>
        <w:widowControl w:val="false"/>
        <w:tabs>
          <w:tab w:val="clear" w:pos="708"/>
          <w:tab w:val="left" w:pos="1985" w:leader="none"/>
        </w:tabs>
        <w:suppressAutoHyphens w:val="false"/>
        <w:rPr>
          <w:sz w:val="27"/>
          <w:szCs w:val="27"/>
        </w:rPr>
      </w:pPr>
      <w:r>
        <w:rPr>
          <w:sz w:val="27"/>
          <w:szCs w:val="27"/>
        </w:rPr>
      </w:r>
    </w:p>
    <w:p>
      <w:pPr>
        <w:pStyle w:val="Normal"/>
        <w:widowControl w:val="false"/>
        <w:tabs>
          <w:tab w:val="clear" w:pos="708"/>
          <w:tab w:val="left" w:pos="1985" w:leader="none"/>
        </w:tabs>
        <w:suppressAutoHyphens w:val="false"/>
        <w:rPr>
          <w:sz w:val="24"/>
        </w:rPr>
      </w:pPr>
      <w:r>
        <w:rPr>
          <w:sz w:val="24"/>
        </w:rPr>
      </w:r>
    </w:p>
    <w:p>
      <w:pPr>
        <w:pStyle w:val="Normal"/>
        <w:widowControl w:val="false"/>
        <w:tabs>
          <w:tab w:val="clear" w:pos="708"/>
          <w:tab w:val="left" w:pos="1985" w:leader="none"/>
        </w:tabs>
        <w:suppressAutoHyphens w:val="false"/>
        <w:jc w:val="both"/>
        <w:rPr/>
      </w:pPr>
      <w:r>
        <w:rPr>
          <w:sz w:val="24"/>
          <w:szCs w:val="28"/>
        </w:rPr>
        <w:t>Лілія Єлова 720 614</w:t>
      </w:r>
    </w:p>
    <w:sectPr>
      <w:type w:val="nextPage"/>
      <w:pgSz w:w="11906" w:h="16838"/>
      <w:pgMar w:left="1701" w:right="567" w:gutter="0" w:header="0" w:top="567" w:footer="0" w:bottom="1701"/>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Tahoma">
    <w:charset w:val="cc"/>
    <w:family w:val="roman"/>
    <w:pitch w:val="variable"/>
  </w:font>
  <w:font w:name="Calibri">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00"/>
  <w:displayBackgroundShape/>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bCs/>
      <w:color w:val="auto"/>
      <w:kern w:val="0"/>
      <w:sz w:val="28"/>
      <w:szCs w:val="24"/>
      <w:lang w:val="uk-UA"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rPr>
  </w:style>
  <w:style w:type="character" w:styleId="WW8Num2z0" w:customStyle="1">
    <w:name w:val="WW8Num2z0"/>
    <w:qFormat/>
    <w:rPr>
      <w:rFonts w:ascii="Times New Roman" w:hAnsi="Times New Roman" w:cs="Times New Roman"/>
    </w:rPr>
  </w:style>
  <w:style w:type="character" w:styleId="WW8Num3z0" w:customStyle="1">
    <w:name w:val="WW8Num3z0"/>
    <w:qFormat/>
    <w:rPr>
      <w:rFonts w:ascii="Times New Roman" w:hAnsi="Times New Roman" w:cs="Times New Roman"/>
      <w:color w:val="000000"/>
      <w:szCs w:val="28"/>
    </w:rPr>
  </w:style>
  <w:style w:type="character" w:styleId="WW8Num4z0" w:customStyle="1">
    <w:name w:val="WW8Num4z0"/>
    <w:qFormat/>
    <w:rPr>
      <w:rFonts w:ascii="Times New Roman" w:hAnsi="Times New Roman" w:cs="Times New Roman"/>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Style14" w:customStyle="1">
    <w:name w:val="Основной шрифт абзаца"/>
    <w:qFormat/>
    <w:rPr/>
  </w:style>
  <w:style w:type="character" w:styleId="3" w:customStyle="1">
    <w:name w:val="Основной шрифт абзаца3"/>
    <w:qFormat/>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Hyperlink">
    <w:name w:val="Hyperlink"/>
    <w:qFormat/>
    <w:rPr>
      <w:color w:val="000080"/>
      <w:u w:val="single"/>
    </w:rPr>
  </w:style>
  <w:style w:type="character" w:styleId="Style15" w:customStyle="1">
    <w:name w:val="Знак Знак"/>
    <w:qFormat/>
    <w:rPr>
      <w:bCs/>
      <w:sz w:val="28"/>
      <w:szCs w:val="24"/>
      <w:lang w:val="uk-UA"/>
    </w:rPr>
  </w:style>
  <w:style w:type="character" w:styleId="Style16" w:customStyle="1">
    <w:name w:val="Верхний колонтитул Знак"/>
    <w:qFormat/>
    <w:rPr>
      <w:bCs/>
      <w:sz w:val="28"/>
      <w:szCs w:val="24"/>
      <w:lang w:eastAsia="zh-CN"/>
    </w:rPr>
  </w:style>
  <w:style w:type="character" w:styleId="Style17" w:customStyle="1">
    <w:name w:val="Нижний колонтитул Знак"/>
    <w:qFormat/>
    <w:rPr>
      <w:bCs/>
      <w:sz w:val="28"/>
      <w:szCs w:val="24"/>
      <w:lang w:eastAsia="zh-CN"/>
    </w:rPr>
  </w:style>
  <w:style w:type="character" w:styleId="mediumtext1" w:customStyle="1">
    <w:name w:val="medium_text1"/>
    <w:qFormat/>
    <w:rPr>
      <w:sz w:val="24"/>
    </w:rPr>
  </w:style>
  <w:style w:type="paragraph" w:styleId="Style18" w:customStyle="1">
    <w:name w:val="Заголовок"/>
    <w:basedOn w:val="Normal"/>
    <w:next w:val="BodyText"/>
    <w:qFormat/>
    <w:pPr>
      <w:keepNext w:val="true"/>
      <w:spacing w:before="240" w:after="120"/>
    </w:pPr>
    <w:rPr>
      <w:rFonts w:eastAsia="Microsoft YaHei" w:cs="Mangal"/>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rPr>
  </w:style>
  <w:style w:type="paragraph" w:styleId="Style19" w:customStyle="1">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Style20" w:customStyle="1">
    <w:name w:val="Название объекта"/>
    <w:basedOn w:val="Normal"/>
    <w:qFormat/>
    <w:pPr>
      <w:suppressLineNumbers/>
      <w:spacing w:before="120" w:after="120"/>
    </w:pPr>
    <w:rPr>
      <w:rFonts w:cs="Arial"/>
      <w:i/>
      <w:iCs/>
      <w:sz w:val="24"/>
    </w:rPr>
  </w:style>
  <w:style w:type="paragraph" w:styleId="11" w:customStyle="1">
    <w:name w:val="Название объекта1"/>
    <w:basedOn w:val="Normal"/>
    <w:qFormat/>
    <w:pPr>
      <w:suppressLineNumbers/>
      <w:spacing w:before="120" w:after="120"/>
    </w:pPr>
    <w:rPr>
      <w:rFonts w:cs="Mangal"/>
      <w:i/>
      <w:iCs/>
      <w:sz w:val="24"/>
    </w:rPr>
  </w:style>
  <w:style w:type="paragraph" w:styleId="21" w:customStyle="1">
    <w:name w:val="Указатель2"/>
    <w:basedOn w:val="Normal"/>
    <w:qFormat/>
    <w:pPr>
      <w:suppressLineNumbers/>
    </w:pPr>
    <w:rPr>
      <w:rFonts w:cs="Mangal"/>
    </w:rPr>
  </w:style>
  <w:style w:type="paragraph" w:styleId="12" w:customStyle="1">
    <w:name w:val="Название1"/>
    <w:basedOn w:val="Normal"/>
    <w:qFormat/>
    <w:pPr>
      <w:suppressLineNumbers/>
      <w:spacing w:before="120" w:after="120"/>
    </w:pPr>
    <w:rPr>
      <w:rFonts w:cs="Mangal"/>
      <w:i/>
      <w:iCs/>
    </w:rPr>
  </w:style>
  <w:style w:type="paragraph" w:styleId="13" w:customStyle="1">
    <w:name w:val="Указатель1"/>
    <w:basedOn w:val="Normal"/>
    <w:qFormat/>
    <w:pPr>
      <w:suppressLineNumbers/>
    </w:pPr>
    <w:rPr>
      <w:rFonts w:cs="Mangal"/>
    </w:rPr>
  </w:style>
  <w:style w:type="paragraph" w:styleId="Style21" w:customStyle="1">
    <w:name w:val="Текст выноски"/>
    <w:basedOn w:val="Normal"/>
    <w:qFormat/>
    <w:pPr/>
    <w:rPr>
      <w:rFonts w:ascii="Tahoma" w:hAnsi="Tahoma" w:cs="Tahoma"/>
      <w:sz w:val="16"/>
      <w:szCs w:val="16"/>
    </w:rPr>
  </w:style>
  <w:style w:type="paragraph" w:styleId="Style22" w:customStyle="1">
    <w:name w:val="Содержимое таблицы"/>
    <w:basedOn w:val="Normal"/>
    <w:qFormat/>
    <w:pPr>
      <w:suppressLineNumbers/>
    </w:pPr>
    <w:rPr/>
  </w:style>
  <w:style w:type="paragraph" w:styleId="Style23" w:customStyle="1">
    <w:name w:val="Заголовок таблицы"/>
    <w:basedOn w:val="Style22"/>
    <w:qFormat/>
    <w:pPr>
      <w:jc w:val="center"/>
    </w:pPr>
    <w:rPr>
      <w:b/>
    </w:rPr>
  </w:style>
  <w:style w:type="paragraph" w:styleId="Style24" w:customStyle="1">
    <w:name w:val="Обычный (веб)"/>
    <w:basedOn w:val="Normal"/>
    <w:qFormat/>
    <w:pPr>
      <w:suppressAutoHyphens w:val="false"/>
      <w:spacing w:before="280" w:after="280"/>
    </w:pPr>
    <w:rPr>
      <w:bCs w:val="false"/>
      <w:sz w:val="24"/>
    </w:rPr>
  </w:style>
  <w:style w:type="paragraph" w:styleId="Style25" w:customStyle="1">
    <w:name w:val="Вміст таблиці"/>
    <w:basedOn w:val="Normal"/>
    <w:qFormat/>
    <w:pPr>
      <w:suppressLineNumbers/>
    </w:pPr>
    <w:rPr/>
  </w:style>
  <w:style w:type="paragraph" w:styleId="Style26" w:customStyle="1">
    <w:name w:val="Заголовок таблиці"/>
    <w:basedOn w:val="Style25"/>
    <w:qFormat/>
    <w:pPr>
      <w:jc w:val="center"/>
    </w:pPr>
    <w:rPr>
      <w:b/>
    </w:rPr>
  </w:style>
  <w:style w:type="paragraph" w:styleId="Style27" w:customStyle="1">
    <w:name w:val="Верхній і нижній колонтитули"/>
    <w:basedOn w:val="Normal"/>
    <w:qFormat/>
    <w:pPr>
      <w:suppressLineNumbers/>
      <w:tabs>
        <w:tab w:val="clear" w:pos="708"/>
        <w:tab w:val="center" w:pos="4819" w:leader="none"/>
        <w:tab w:val="right" w:pos="9638" w:leader="none"/>
      </w:tabs>
    </w:pPr>
    <w:rPr/>
  </w:style>
  <w:style w:type="paragraph" w:styleId="user2">
    <w:name w:val="Верхній і нижній колонтитули (user)"/>
    <w:basedOn w:val="Normal"/>
    <w:qFormat/>
    <w:pPr/>
    <w:rPr/>
  </w:style>
  <w:style w:type="paragraph" w:styleId="Header">
    <w:name w:val="header"/>
    <w:basedOn w:val="Normal"/>
    <w:pPr>
      <w:tabs>
        <w:tab w:val="clear" w:pos="708"/>
        <w:tab w:val="center" w:pos="4819" w:leader="none"/>
        <w:tab w:val="right" w:pos="9639" w:leader="none"/>
      </w:tabs>
    </w:pPr>
    <w:rPr/>
  </w:style>
  <w:style w:type="paragraph" w:styleId="Footer">
    <w:name w:val="footer"/>
    <w:basedOn w:val="Normal"/>
    <w:pPr>
      <w:tabs>
        <w:tab w:val="clear" w:pos="708"/>
        <w:tab w:val="center" w:pos="4819" w:leader="none"/>
        <w:tab w:val="right" w:pos="9639" w:leader="none"/>
      </w:tabs>
    </w:pPr>
    <w:rPr/>
  </w:style>
  <w:style w:type="paragraph" w:styleId="ListParagraph">
    <w:name w:val="List Paragraph"/>
    <w:basedOn w:val="Normal"/>
    <w:qFormat/>
    <w:pPr>
      <w:suppressAutoHyphens w:val="false"/>
      <w:spacing w:lineRule="auto" w:line="259" w:before="0" w:after="160"/>
      <w:ind w:hanging="0" w:left="720"/>
      <w:contextualSpacing/>
    </w:pPr>
    <w:rPr>
      <w:rFonts w:ascii="Calibri" w:hAnsi="Calibri" w:eastAsia="Calibri"/>
      <w:sz w:val="22"/>
      <w:szCs w:val="22"/>
      <w:lang w:val="ru-RU" w:eastAsia="en-US"/>
    </w:rPr>
  </w:style>
  <w:style w:type="numbering" w:styleId="user3" w:default="1">
    <w:name w:val="Без маркерів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LibreOffice/25.2.7.2$Windows_X86_64 LibreOffice_project/5cbfd1ab6520636bb5f7b99185aa69bd7456825d</Application>
  <AppVersion>15.0000</AppVersion>
  <Pages>3</Pages>
  <Words>887</Words>
  <Characters>5939</Characters>
  <CharactersWithSpaces>6822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2022-09-27T14:54:00Z</dcterms:created>
  <dc:creator>Polishcuk</dc:creator>
  <dc:description/>
  <dc:language>uk-UA</dc:language>
  <cp:lastModifiedBy/>
  <cp:lastPrinted>2026-01-28T12:40:07Z</cp:lastPrinted>
  <dcterms:modified xsi:type="dcterms:W3CDTF">2026-01-28T12:40:41Z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