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both"/>
        <w:rPr>
          <w:szCs w:val="28"/>
        </w:rPr>
      </w:pPr>
      <w:r>
        <w:rPr>
          <w:szCs w:val="28"/>
        </w:rPr>
        <w:t>Додаток 2</w:t>
      </w:r>
    </w:p>
    <w:p>
      <w:pPr>
        <w:pStyle w:val="Normal"/>
        <w:ind w:left="5103" w:hanging="0"/>
        <w:jc w:val="both"/>
        <w:rPr>
          <w:szCs w:val="28"/>
        </w:rPr>
      </w:pPr>
      <w:r>
        <w:rPr>
          <w:szCs w:val="28"/>
        </w:rPr>
        <w:t>до рішення виконавчого комітету</w:t>
      </w:r>
    </w:p>
    <w:p>
      <w:pPr>
        <w:pStyle w:val="Normal"/>
        <w:ind w:left="5103" w:hanging="0"/>
        <w:jc w:val="both"/>
        <w:rPr>
          <w:szCs w:val="28"/>
        </w:rPr>
      </w:pPr>
      <w:r>
        <w:rPr>
          <w:szCs w:val="28"/>
        </w:rPr>
        <w:t xml:space="preserve">міської ради </w:t>
      </w:r>
    </w:p>
    <w:p>
      <w:pPr>
        <w:pStyle w:val="Normal"/>
        <w:ind w:left="5103" w:hanging="0"/>
        <w:jc w:val="both"/>
        <w:rPr>
          <w:szCs w:val="28"/>
        </w:rPr>
      </w:pPr>
      <w:r>
        <w:rPr>
          <w:szCs w:val="28"/>
        </w:rPr>
        <w:t>__________ №_____</w:t>
      </w:r>
    </w:p>
    <w:p>
      <w:pPr>
        <w:pStyle w:val="FR4"/>
        <w:spacing w:lineRule="auto" w:line="240" w:before="0" w:after="0"/>
        <w:ind w:left="5760" w:right="0" w:hanging="0"/>
        <w:rPr>
          <w:rFonts w:ascii="Times New Roman" w:hAnsi="Times New Roman" w:cs="Times New Roman"/>
          <w:bCs/>
          <w:sz w:val="28"/>
          <w:szCs w:val="28"/>
        </w:rPr>
      </w:pPr>
      <w:r>
        <w:rPr>
          <w:rFonts w:cs="Times New Roman" w:ascii="Times New Roman" w:hAnsi="Times New Roman"/>
          <w:bCs/>
          <w:sz w:val="28"/>
          <w:szCs w:val="28"/>
        </w:rPr>
      </w:r>
    </w:p>
    <w:p>
      <w:pPr>
        <w:pStyle w:val="Normal"/>
        <w:widowControl w:val="false"/>
        <w:suppressAutoHyphens w:val="false"/>
        <w:ind w:firstLine="680"/>
        <w:jc w:val="center"/>
        <w:rPr>
          <w:bCs w:val="false"/>
          <w:szCs w:val="28"/>
        </w:rPr>
      </w:pPr>
      <w:r>
        <w:rPr>
          <w:bCs w:val="false"/>
          <w:szCs w:val="28"/>
        </w:rPr>
      </w:r>
    </w:p>
    <w:p>
      <w:pPr>
        <w:pStyle w:val="Normal"/>
        <w:widowControl w:val="false"/>
        <w:suppressAutoHyphens w:val="false"/>
        <w:ind w:firstLine="680"/>
        <w:jc w:val="center"/>
        <w:rPr>
          <w:szCs w:val="28"/>
        </w:rPr>
      </w:pPr>
      <w:r>
        <w:rPr>
          <w:bCs w:val="false"/>
          <w:szCs w:val="28"/>
        </w:rPr>
        <w:t>ПОЛОЖЕННЯ</w:t>
      </w:r>
    </w:p>
    <w:p>
      <w:pPr>
        <w:pStyle w:val="Normal"/>
        <w:widowControl w:val="false"/>
        <w:suppressAutoHyphens w:val="false"/>
        <w:jc w:val="center"/>
        <w:rPr>
          <w:bCs w:val="false"/>
          <w:szCs w:val="28"/>
        </w:rPr>
      </w:pPr>
      <w:r>
        <w:rPr>
          <w:bCs w:val="false"/>
          <w:szCs w:val="28"/>
        </w:rPr>
        <w:t>про проведення конкурсу на оформлення права на користування</w:t>
      </w:r>
    </w:p>
    <w:p>
      <w:pPr>
        <w:pStyle w:val="Normal"/>
        <w:widowControl w:val="false"/>
        <w:suppressAutoHyphens w:val="false"/>
        <w:jc w:val="center"/>
        <w:rPr>
          <w:bCs w:val="false"/>
          <w:szCs w:val="28"/>
        </w:rPr>
      </w:pPr>
      <w:r>
        <w:rPr>
          <w:bCs w:val="false"/>
          <w:szCs w:val="28"/>
        </w:rPr>
        <w:t>окремими елементами благоустрою комунальної власності для розміщення тимчасових споруд з метою провадження підприємницької діяльності</w:t>
      </w:r>
    </w:p>
    <w:p>
      <w:pPr>
        <w:pStyle w:val="Normal"/>
        <w:widowControl w:val="false"/>
        <w:suppressAutoHyphens w:val="false"/>
        <w:jc w:val="center"/>
        <w:rPr>
          <w:bCs w:val="false"/>
          <w:szCs w:val="28"/>
        </w:rPr>
      </w:pPr>
      <w:r>
        <w:rPr>
          <w:szCs w:val="28"/>
        </w:rPr>
        <w:t>на території Луцької міської територіальної громади</w:t>
      </w:r>
    </w:p>
    <w:p>
      <w:pPr>
        <w:pStyle w:val="Normal"/>
        <w:widowControl w:val="false"/>
        <w:suppressAutoHyphens w:val="false"/>
        <w:ind w:firstLine="680"/>
        <w:jc w:val="both"/>
        <w:rPr>
          <w:bCs w:val="false"/>
          <w:szCs w:val="28"/>
        </w:rPr>
      </w:pPr>
      <w:r>
        <w:rPr>
          <w:bCs w:val="false"/>
          <w:szCs w:val="28"/>
        </w:rPr>
      </w:r>
    </w:p>
    <w:p>
      <w:pPr>
        <w:pStyle w:val="Normal"/>
        <w:widowControl w:val="false"/>
        <w:suppressAutoHyphens w:val="false"/>
        <w:ind w:firstLine="680"/>
        <w:jc w:val="center"/>
        <w:rPr>
          <w:bCs w:val="false"/>
          <w:szCs w:val="28"/>
        </w:rPr>
      </w:pPr>
      <w:r>
        <w:rPr>
          <w:bCs w:val="false"/>
          <w:szCs w:val="28"/>
        </w:rPr>
        <w:t>1. Загальні положення</w:t>
      </w:r>
    </w:p>
    <w:p>
      <w:pPr>
        <w:pStyle w:val="Normal"/>
        <w:ind w:firstLine="567"/>
        <w:jc w:val="both"/>
        <w:rPr/>
      </w:pPr>
      <w:r>
        <w:rPr/>
        <w:t>1.1. Положення про проведення конкурсу на оформлення права на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(далі – Положення) розроблене відповідно до законів України „Про місцеве самоврядування в Україні”, „Про благоустрій населених пунктів”, наказу Міністерства регіонального розвитку, будівництва та житлово-комунального господарства України від 21 жовтня 2011 року № 244, визначає порядок підготовки документів та процедуру розміщення тимчасових споруд, відповідальність за порушення вимог законодавства України та цього Положення.</w:t>
      </w:r>
    </w:p>
    <w:p>
      <w:pPr>
        <w:pStyle w:val="Normal"/>
        <w:ind w:firstLine="567"/>
        <w:jc w:val="both"/>
        <w:rPr/>
      </w:pPr>
      <w:r>
        <w:rPr/>
        <w:t>1.2. Підготовку документів для проведення конкурсу на оформлення права на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здійснює відділ управління майном міської комунальної власності Луцької міської ради (надалі – Організатор конкурсу).</w:t>
      </w:r>
    </w:p>
    <w:p>
      <w:pPr>
        <w:pStyle w:val="Normal"/>
        <w:ind w:firstLine="567"/>
        <w:jc w:val="both"/>
        <w:rPr/>
      </w:pPr>
      <w:r>
        <w:rPr/>
        <w:t>1.3. Місця розміщення тимчасових споруд, що пропонуються для винесення на конкурс, визначає уповноважений орган з питань містобудування та архітектури Луцької міської ради відповідно до схем розміщення тимчасових споруд для провадження підприємницької діяльності (у разі їх наявності), затверджених рішенням виконавчого комітету міської ради, з врахуванням вимог будівельних, санітарно-гігієнічних норм, а також існуючих містобудівних обмежень, вимог щодо охорони довкілля та раціонального використання територій, охорони історико-культурної спадщини, земельно-господарського устрою.</w:t>
      </w:r>
    </w:p>
    <w:p>
      <w:pPr>
        <w:pStyle w:val="Normal"/>
        <w:ind w:firstLine="567"/>
        <w:jc w:val="both"/>
        <w:rPr/>
      </w:pPr>
      <w:r>
        <w:rPr/>
        <w:t>1.4. Терміни, що вживаються у цьому Положенні, мають таке значення:</w:t>
      </w:r>
    </w:p>
    <w:p>
      <w:pPr>
        <w:pStyle w:val="Normal"/>
        <w:ind w:firstLine="567"/>
        <w:jc w:val="both"/>
        <w:rPr/>
      </w:pPr>
      <w:r>
        <w:rPr/>
        <w:t xml:space="preserve">конкурс – форма проведення торгів на право користування місцем розміщення тимчасових споруд торговельного, побутового, соціально-культурного чи іншого призначення для провадження підприємницької діяльності на території Луцької міської територіальної громади (далі – ТС), за якою таке право надається учаснику, який запропонував найвищу ціну, зафіксовану під час проведення конкурсу; </w:t>
      </w:r>
    </w:p>
    <w:p>
      <w:pPr>
        <w:pStyle w:val="Normal"/>
        <w:ind w:firstLine="567"/>
        <w:jc w:val="both"/>
        <w:rPr/>
      </w:pPr>
      <w:r>
        <w:rPr/>
        <w:t>лот конкурсу – місце чи місця розміщення ТС, які виносяться на торги. В одному лоті може бути одне місце для розміщення ТС чи декілька місць для розміщення групи ТС як за однією адресою, так і розміщених окремих ТС за різними адресами. Склад лоту для проведення конкурсу визначає та надає уповноважений орган з питань містобудування та архітектури Луцької міської ради з зазначенням площ та розмірів пропонованих місць.</w:t>
      </w:r>
    </w:p>
    <w:p>
      <w:pPr>
        <w:pStyle w:val="Normal"/>
        <w:ind w:firstLine="567"/>
        <w:jc w:val="both"/>
        <w:rPr/>
      </w:pPr>
      <w:r>
        <w:rPr/>
        <w:t>окремі елементи благоустрою комунальної власності для розміщення тимчасових споруд для провадження підприємницької діяльності на території Луцької міської територіальної громади – визначені місця для винесення на конкурс для розміщення ТС для здійснення підприємницької діяльності, які не перебувають у приватній власності або у користуванні третіх осіб, вільні від забудови та на які не поширюються права третіх осіб;</w:t>
      </w:r>
    </w:p>
    <w:p>
      <w:pPr>
        <w:pStyle w:val="Normal"/>
        <w:ind w:firstLine="567"/>
        <w:jc w:val="both"/>
        <w:rPr>
          <w:szCs w:val="28"/>
        </w:rPr>
      </w:pPr>
      <w:r>
        <w:rPr/>
        <w:t xml:space="preserve">гарантійний внесок – грошова сума, яку сплачує учасник конкурсу, як гарантію участі та виконання своїх зобов’язань у розмірі дванадцятимісячної  плати за користування окремим елементами благоустрою комунальної власності, визначеної відповідно до Методики розрахунку плати за тимчасове користування окремими елементами благоустрою комунальної власності, затвердженої </w:t>
      </w:r>
      <w:r>
        <w:rPr>
          <w:szCs w:val="28"/>
        </w:rPr>
        <w:t>рішенням міської ради від 22.02.2023 № 41/96 «Про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p>
    <w:p>
      <w:pPr>
        <w:pStyle w:val="Normal"/>
        <w:ind w:firstLine="567"/>
        <w:jc w:val="both"/>
        <w:rPr/>
      </w:pPr>
      <w:r>
        <w:rPr/>
        <w:t>заявник – фізична особа-підприємець чи юридична особа, яка у встановлений цим Положенням термін подала заяву про участь у конкурсі та сплатила гарантійний внесок;</w:t>
      </w:r>
    </w:p>
    <w:p>
      <w:pPr>
        <w:pStyle w:val="Normal"/>
        <w:ind w:firstLine="567"/>
        <w:jc w:val="both"/>
        <w:rPr/>
      </w:pPr>
      <w:r>
        <w:rPr/>
        <w:t>Договір –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p>
    <w:p>
      <w:pPr>
        <w:pStyle w:val="Normal"/>
        <w:ind w:firstLine="567"/>
        <w:jc w:val="both"/>
        <w:rPr/>
      </w:pPr>
      <w:r>
        <w:rPr/>
        <w:t>користування окремими елементами благоустрою комунальної власності для розміщення ТС – засноване на Договорі строкове, платне тимчасове користування окремими елементами благоустрою, необхідне для здійснення підприємницької діяльності;</w:t>
      </w:r>
    </w:p>
    <w:p>
      <w:pPr>
        <w:pStyle w:val="Normal"/>
        <w:ind w:firstLine="567"/>
        <w:jc w:val="both"/>
        <w:rPr/>
      </w:pPr>
      <w:r>
        <w:rPr/>
        <w:t>оголошення про конкурс – опублікування у засобах масової інформації та на офіційному сайті Луцької міської ради повідомлення про проведення конкурсу на право користування окремими елементами благоустрою міської комунальної власності для розміщення ТС;</w:t>
      </w:r>
    </w:p>
    <w:p>
      <w:pPr>
        <w:pStyle w:val="Normal"/>
        <w:ind w:firstLine="567"/>
        <w:jc w:val="both"/>
        <w:rPr>
          <w:szCs w:val="28"/>
        </w:rPr>
      </w:pPr>
      <w:r>
        <w:rPr/>
        <w:t xml:space="preserve">стартова ціна – розмір місячної плати за користування окремими елементами благоустрою міської комунальної власності для розміщення тимчасової споруди для провадження підприємницької діяльності визначена відповідно до Положення про тимчасове користування окремим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затвердженого </w:t>
      </w:r>
      <w:r>
        <w:rPr>
          <w:szCs w:val="28"/>
        </w:rPr>
        <w:t>рішенням міської ради від 22.02.2023 № 41/96 «Про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p>
    <w:p>
      <w:pPr>
        <w:pStyle w:val="Normal"/>
        <w:widowControl w:val="false"/>
        <w:suppressAutoHyphens w:val="false"/>
        <w:ind w:firstLine="680"/>
        <w:jc w:val="center"/>
        <w:rPr>
          <w:bCs w:val="false"/>
          <w:szCs w:val="28"/>
        </w:rPr>
      </w:pPr>
      <w:r>
        <w:rPr>
          <w:bCs w:val="false"/>
          <w:szCs w:val="28"/>
        </w:rPr>
        <w:t>2. Оголошення конкурсу</w:t>
      </w:r>
    </w:p>
    <w:p>
      <w:pPr>
        <w:pStyle w:val="Normal"/>
        <w:ind w:firstLine="567"/>
        <w:jc w:val="both"/>
        <w:rPr/>
      </w:pPr>
      <w:r>
        <w:rPr/>
        <w:t>2.1. Конкурс оголошується не пізніше ніж за 20 днів до його проведення. Оголошення про конкурс оприлюднюється шляхом опублікування інформації у місцевій пресі та на офіційному сайті Луцької міської ради;</w:t>
      </w:r>
    </w:p>
    <w:p>
      <w:pPr>
        <w:pStyle w:val="Normal"/>
        <w:ind w:firstLine="567"/>
        <w:jc w:val="both"/>
        <w:rPr/>
      </w:pPr>
      <w:r>
        <w:rPr/>
        <w:t>2.2. Інформація про об’єкт запропонований на конкурс, повинна містити такі відомості про:</w:t>
      </w:r>
    </w:p>
    <w:p>
      <w:pPr>
        <w:pStyle w:val="Normal"/>
        <w:ind w:firstLine="567"/>
        <w:jc w:val="both"/>
        <w:rPr/>
      </w:pPr>
      <w:r>
        <w:rPr/>
        <w:t xml:space="preserve">лот конкурсу; </w:t>
      </w:r>
    </w:p>
    <w:p>
      <w:pPr>
        <w:pStyle w:val="Normal"/>
        <w:ind w:firstLine="567"/>
        <w:jc w:val="both"/>
        <w:rPr/>
      </w:pPr>
      <w:r>
        <w:rPr/>
        <w:t>місце та розмір площі окремих елементів благоустрою міської комунальної власності для розміщення ТС для провадження підприємницької діяльності, які є предметом конкурсу;</w:t>
      </w:r>
    </w:p>
    <w:p>
      <w:pPr>
        <w:pStyle w:val="Normal"/>
        <w:ind w:firstLine="567"/>
        <w:jc w:val="both"/>
        <w:rPr/>
      </w:pPr>
      <w:r>
        <w:rPr/>
        <w:t>вид ТС (стаціонарна тимчасова споруда або пересувна тимчасова споруда);</w:t>
      </w:r>
    </w:p>
    <w:p>
      <w:pPr>
        <w:pStyle w:val="Normal"/>
        <w:ind w:firstLine="567"/>
        <w:jc w:val="both"/>
        <w:rPr/>
      </w:pPr>
      <w:r>
        <w:rPr/>
        <w:t>функціональне призначення;</w:t>
      </w:r>
    </w:p>
    <w:p>
      <w:pPr>
        <w:pStyle w:val="Normal"/>
        <w:ind w:firstLine="567"/>
        <w:jc w:val="both"/>
        <w:rPr/>
      </w:pPr>
      <w:r>
        <w:rPr/>
        <w:t>стартову ціну;</w:t>
      </w:r>
    </w:p>
    <w:p>
      <w:pPr>
        <w:pStyle w:val="Normal"/>
        <w:ind w:firstLine="567"/>
        <w:jc w:val="both"/>
        <w:rPr/>
      </w:pPr>
      <w:r>
        <w:rPr/>
        <w:t>перелік документів необхідних для участі в конкурсі;</w:t>
      </w:r>
    </w:p>
    <w:p>
      <w:pPr>
        <w:pStyle w:val="Normal"/>
        <w:ind w:firstLine="567"/>
        <w:jc w:val="both"/>
        <w:rPr/>
      </w:pPr>
      <w:r>
        <w:rPr/>
        <w:t>кінцевий термін прийняття заяв та документів для участі у конкурсі;</w:t>
      </w:r>
    </w:p>
    <w:p>
      <w:pPr>
        <w:pStyle w:val="Normal"/>
        <w:ind w:firstLine="567"/>
        <w:jc w:val="both"/>
        <w:rPr/>
      </w:pPr>
      <w:r>
        <w:rPr/>
        <w:t>дату, час і місце проведення конкурсу;</w:t>
      </w:r>
    </w:p>
    <w:p>
      <w:pPr>
        <w:pStyle w:val="Normal"/>
        <w:ind w:firstLine="567"/>
        <w:jc w:val="both"/>
        <w:rPr/>
      </w:pPr>
      <w:r>
        <w:rPr/>
        <w:t>інші відомості, що випливають з умов конкурсу.</w:t>
      </w:r>
    </w:p>
    <w:p>
      <w:pPr>
        <w:pStyle w:val="Normal"/>
        <w:ind w:firstLine="567"/>
        <w:jc w:val="both"/>
        <w:rPr/>
      </w:pPr>
      <w:r>
        <w:rPr/>
        <w:t>Організатор конкурсу не має право змінювати умови проведення конкурсу після опублікування оголошення про конкурс.</w:t>
      </w:r>
    </w:p>
    <w:p>
      <w:pPr>
        <w:pStyle w:val="Normal"/>
        <w:ind w:firstLine="567"/>
        <w:jc w:val="both"/>
        <w:rPr/>
      </w:pPr>
      <w:r>
        <w:rPr/>
        <w:t>Організатор у будь-який момент до проведення конкурсу має право зняти лот з конкурсу до його проведення.</w:t>
      </w:r>
    </w:p>
    <w:p>
      <w:pPr>
        <w:pStyle w:val="Normal"/>
        <w:widowControl w:val="false"/>
        <w:suppressAutoHyphens w:val="false"/>
        <w:ind w:firstLine="567"/>
        <w:jc w:val="both"/>
        <w:rPr>
          <w:bCs w:val="false"/>
          <w:szCs w:val="28"/>
        </w:rPr>
      </w:pPr>
      <w:r>
        <w:rPr>
          <w:bCs w:val="false"/>
          <w:szCs w:val="28"/>
        </w:rPr>
      </w:r>
    </w:p>
    <w:p>
      <w:pPr>
        <w:pStyle w:val="Normal"/>
        <w:widowControl w:val="false"/>
        <w:suppressAutoHyphens w:val="false"/>
        <w:ind w:firstLine="680"/>
        <w:jc w:val="center"/>
        <w:rPr>
          <w:bCs w:val="false"/>
          <w:szCs w:val="28"/>
        </w:rPr>
      </w:pPr>
      <w:r>
        <w:rPr>
          <w:bCs w:val="false"/>
          <w:szCs w:val="28"/>
        </w:rPr>
        <w:t>3. Умови участі у конкурсі</w:t>
      </w:r>
    </w:p>
    <w:p>
      <w:pPr>
        <w:pStyle w:val="Normal"/>
        <w:ind w:firstLine="567"/>
        <w:jc w:val="both"/>
        <w:rPr/>
      </w:pPr>
      <w:r>
        <w:rPr/>
        <w:t>3.1. Для участі у конкурсі учасники не пізніше трьох робочих днів, що передують його проведенню, подають до відділу управління майном міської комунальної власності Луцької міської ради:</w:t>
      </w:r>
    </w:p>
    <w:p>
      <w:pPr>
        <w:pStyle w:val="Normal"/>
        <w:ind w:firstLine="567"/>
        <w:jc w:val="both"/>
        <w:rPr/>
      </w:pPr>
      <w:r>
        <w:rPr/>
        <w:t>заяву на участь в конкурсі із зазначенням реквізитів рахунку для повернення гарантійного внеску;</w:t>
      </w:r>
    </w:p>
    <w:p>
      <w:pPr>
        <w:pStyle w:val="Normal"/>
        <w:ind w:firstLine="567"/>
        <w:jc w:val="both"/>
        <w:rPr/>
      </w:pPr>
      <w:r>
        <w:rPr/>
        <w:t>копію виписки (витягу) з Єдиного державного реєстру юридичних осіб, фізичних осіб-підприємців та громадських формувань;</w:t>
      </w:r>
    </w:p>
    <w:p>
      <w:pPr>
        <w:pStyle w:val="Normal"/>
        <w:ind w:firstLine="567"/>
        <w:jc w:val="both"/>
        <w:rPr/>
      </w:pPr>
      <w:r>
        <w:rPr/>
        <w:t>документ, що підтверджує сплату гарантійного внеску.</w:t>
      </w:r>
    </w:p>
    <w:p>
      <w:pPr>
        <w:pStyle w:val="Normal"/>
        <w:ind w:firstLine="567"/>
        <w:jc w:val="both"/>
        <w:rPr/>
      </w:pPr>
      <w:r>
        <w:rPr/>
        <w:t>3.2. До участі у конкурсі допускаються особи, які своєчасно подали заяви та документи, передбачені цим Положенням. Інформація про учасників конкурсу та зміст поданих документів не підлягає розголошенню до проведення конкурсу.</w:t>
      </w:r>
    </w:p>
    <w:p>
      <w:pPr>
        <w:pStyle w:val="Normal"/>
        <w:ind w:firstLine="567"/>
        <w:jc w:val="both"/>
        <w:rPr/>
      </w:pPr>
      <w:r>
        <w:rPr/>
        <w:t>3.3. Комісія має право відмовити особі в участі у конкурсі, якщо подані нею документи не відповідають вимогам цього Положення та умовам конкурсу.</w:t>
      </w:r>
    </w:p>
    <w:p>
      <w:pPr>
        <w:pStyle w:val="Normal"/>
        <w:ind w:firstLine="567"/>
        <w:jc w:val="both"/>
        <w:rPr/>
      </w:pPr>
      <w:r>
        <w:rPr/>
        <w:t>3.4. Заява на участь у конкурсі, що надійшла пізніше встановленого терміну, повертається заявнику без розгляду.</w:t>
      </w:r>
    </w:p>
    <w:p>
      <w:pPr>
        <w:pStyle w:val="Normal"/>
        <w:ind w:firstLine="567"/>
        <w:jc w:val="both"/>
        <w:rPr/>
      </w:pPr>
      <w:r>
        <w:rPr/>
        <w:t>3.5. За наявності лише одного учасника конкурс не проводиться. Право на оформлення користування окремими елементами благоустрою комунальної власності для розміщення тимчасових споруд для провадження підприємницької діяльності на території Луцької міської територіальної громади надається цьому учаснику.</w:t>
      </w:r>
    </w:p>
    <w:p>
      <w:pPr>
        <w:pStyle w:val="Normal"/>
        <w:ind w:firstLine="567"/>
        <w:jc w:val="both"/>
        <w:rPr/>
      </w:pPr>
      <w:r>
        <w:rPr/>
        <w:t>3.6. Відомості про учасників конкурсу заносяться до електронного журналу реєстрації, де зазначається:</w:t>
      </w:r>
    </w:p>
    <w:p>
      <w:pPr>
        <w:pStyle w:val="Normal"/>
        <w:ind w:firstLine="567"/>
        <w:jc w:val="both"/>
        <w:rPr/>
      </w:pPr>
      <w:r>
        <w:rPr/>
        <w:t>дата і номер реєстрації заяви учасника конкурсу;</w:t>
      </w:r>
    </w:p>
    <w:p>
      <w:pPr>
        <w:pStyle w:val="Normal"/>
        <w:ind w:firstLine="567"/>
        <w:jc w:val="both"/>
        <w:rPr/>
      </w:pPr>
      <w:r>
        <w:rPr/>
        <w:t>найменування учасника конкурсу;</w:t>
      </w:r>
    </w:p>
    <w:p>
      <w:pPr>
        <w:pStyle w:val="Normal"/>
        <w:ind w:firstLine="567"/>
        <w:jc w:val="both"/>
        <w:rPr/>
      </w:pPr>
      <w:r>
        <w:rPr/>
        <w:t>місце та розмір площі окремих елементів благоустрою міської комунальної власності для розміщення ТС, які є предметом конкурсу.</w:t>
      </w:r>
    </w:p>
    <w:p>
      <w:pPr>
        <w:pStyle w:val="Normal"/>
        <w:ind w:firstLine="567"/>
        <w:jc w:val="both"/>
        <w:rPr/>
      </w:pPr>
      <w:r>
        <w:rPr/>
        <w:t>Для участі у конкурсі учасники сплачують гарантійний внесок, шляхом безготівкового перерахування на відповідний поточний рахунок.</w:t>
      </w:r>
    </w:p>
    <w:p>
      <w:pPr>
        <w:pStyle w:val="Normal"/>
        <w:ind w:firstLine="567"/>
        <w:jc w:val="both"/>
        <w:rPr/>
      </w:pPr>
      <w:r>
        <w:rPr/>
        <w:t>Після закінчення конкурсу гарантійний внесок повертається учасникам конкурсу, крім переможця, у десятиденний строк. Учаснику, який переміг у конкурсі вказані кошти зараховуються в рахунок оплати за користування окремими елементами благоустрою міської комунальної власності для розміщення тимчасової споруди.</w:t>
      </w:r>
    </w:p>
    <w:p>
      <w:pPr>
        <w:pStyle w:val="Normal"/>
        <w:ind w:firstLine="567"/>
        <w:jc w:val="both"/>
        <w:rPr>
          <w:bCs w:val="false"/>
          <w:szCs w:val="28"/>
        </w:rPr>
      </w:pPr>
      <w:r>
        <w:rPr/>
        <w:t>У разі відмови підписання протоколу або Договору учасником конкурсу, якому надане таке право, гарантійний внесок цьому учаснику не повертається, а зараховується до бюджету Луцької міської територіальної громади</w:t>
      </w:r>
      <w:r>
        <w:rPr>
          <w:bCs w:val="false"/>
          <w:szCs w:val="28"/>
        </w:rPr>
        <w:t>.</w:t>
      </w:r>
    </w:p>
    <w:p>
      <w:pPr>
        <w:pStyle w:val="Normal"/>
        <w:widowControl w:val="false"/>
        <w:suppressAutoHyphens w:val="false"/>
        <w:ind w:firstLine="680"/>
        <w:jc w:val="both"/>
        <w:rPr>
          <w:bCs w:val="false"/>
          <w:szCs w:val="28"/>
        </w:rPr>
      </w:pPr>
      <w:r>
        <w:rPr>
          <w:bCs w:val="false"/>
          <w:szCs w:val="28"/>
        </w:rPr>
      </w:r>
    </w:p>
    <w:p>
      <w:pPr>
        <w:pStyle w:val="Normal"/>
        <w:widowControl w:val="false"/>
        <w:suppressAutoHyphens w:val="false"/>
        <w:ind w:firstLine="680"/>
        <w:jc w:val="center"/>
        <w:rPr>
          <w:bCs w:val="false"/>
          <w:szCs w:val="28"/>
        </w:rPr>
      </w:pPr>
      <w:r>
        <w:rPr>
          <w:bCs w:val="false"/>
          <w:szCs w:val="28"/>
        </w:rPr>
        <w:t>4. Конкурсна комісія</w:t>
      </w:r>
    </w:p>
    <w:p>
      <w:pPr>
        <w:pStyle w:val="Normal"/>
        <w:ind w:firstLine="567"/>
        <w:jc w:val="both"/>
        <w:rPr/>
      </w:pPr>
      <w:r>
        <w:rPr/>
        <w:t>4.1. Склад конкурсної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затверджується розпорядженням міського голови.</w:t>
      </w:r>
    </w:p>
    <w:p>
      <w:pPr>
        <w:pStyle w:val="Normal"/>
        <w:ind w:firstLine="567"/>
        <w:jc w:val="both"/>
        <w:rPr/>
      </w:pPr>
      <w:r>
        <w:rPr/>
        <w:t>4.2. Основним завданням комісії є розгляд заяв та пропозицій учасників конкурсу та встановлення результатів конкурсу.</w:t>
      </w:r>
    </w:p>
    <w:p>
      <w:pPr>
        <w:pStyle w:val="Normal"/>
        <w:ind w:firstLine="567"/>
        <w:jc w:val="both"/>
        <w:rPr/>
      </w:pPr>
      <w:r>
        <w:rPr/>
        <w:t>4.3. До складу комісії входять працівники виконавчих органів з питань управління майном міської комунальної власності, містобудування та архітектури, економічної політики, муніципальної варти, юридичного департаменту. У разі потреби до складу комісії можуть залучатися з правом дорадчого голосу спеціалісти, експерти, представники структурних підрозділів Луцької міської ради, підприємств тощо.</w:t>
      </w:r>
    </w:p>
    <w:p>
      <w:pPr>
        <w:pStyle w:val="Normal"/>
        <w:ind w:firstLine="567"/>
        <w:jc w:val="both"/>
        <w:rPr/>
      </w:pPr>
      <w:r>
        <w:rPr/>
        <w:t>4.4. Засідання комісії є правомочним за умови участі в ньому не менше як двох третин складу її членів. Рішення комісії приймається простою більшістю голосів присутніх членів комісії. За умови рівного розподілу голосів членів комісії, голос голови конкурсної комісії, а уразі його відсутності – його заступника, є вирішальним.</w:t>
      </w:r>
    </w:p>
    <w:p>
      <w:pPr>
        <w:pStyle w:val="Normal"/>
        <w:ind w:firstLine="567"/>
        <w:jc w:val="both"/>
        <w:rPr/>
      </w:pPr>
      <w:r>
        <w:rPr/>
        <w:t>4.5. Рішення комісії оформляється протоколом, який підписується усіма присутніми членами комісії. В протокол засідання вносяться такі відомості:</w:t>
      </w:r>
    </w:p>
    <w:p>
      <w:pPr>
        <w:pStyle w:val="Normal"/>
        <w:ind w:firstLine="567"/>
        <w:jc w:val="both"/>
        <w:rPr/>
      </w:pPr>
      <w:r>
        <w:rPr/>
        <w:t>склад учасників конкурсу;</w:t>
      </w:r>
    </w:p>
    <w:p>
      <w:pPr>
        <w:pStyle w:val="Normal"/>
        <w:ind w:firstLine="567"/>
        <w:jc w:val="both"/>
        <w:rPr/>
      </w:pPr>
      <w:r>
        <w:rPr/>
        <w:t>пропозиції учасників конкурсу;</w:t>
      </w:r>
    </w:p>
    <w:p>
      <w:pPr>
        <w:pStyle w:val="Normal"/>
        <w:ind w:firstLine="567"/>
        <w:jc w:val="both"/>
        <w:rPr/>
      </w:pPr>
      <w:r>
        <w:rPr/>
        <w:t>хід проведення конкурсу;</w:t>
      </w:r>
    </w:p>
    <w:p>
      <w:pPr>
        <w:pStyle w:val="Normal"/>
        <w:ind w:firstLine="567"/>
        <w:jc w:val="both"/>
        <w:rPr/>
      </w:pPr>
      <w:r>
        <w:rPr/>
        <w:t>ухвалене рішення щодо переможця і підстави ухвалення рішення;</w:t>
      </w:r>
    </w:p>
    <w:p>
      <w:pPr>
        <w:pStyle w:val="Normal"/>
        <w:ind w:firstLine="567"/>
        <w:jc w:val="both"/>
        <w:rPr/>
      </w:pPr>
      <w:r>
        <w:rPr/>
        <w:t>відомості про особу, що визначена переможцем;</w:t>
      </w:r>
    </w:p>
    <w:p>
      <w:pPr>
        <w:pStyle w:val="Normal"/>
        <w:ind w:firstLine="567"/>
        <w:jc w:val="both"/>
        <w:rPr/>
      </w:pPr>
      <w:r>
        <w:rPr/>
        <w:t>інша інформація.</w:t>
      </w:r>
    </w:p>
    <w:p>
      <w:pPr>
        <w:pStyle w:val="Normal"/>
        <w:widowControl w:val="false"/>
        <w:suppressAutoHyphens w:val="false"/>
        <w:ind w:firstLine="680"/>
        <w:jc w:val="center"/>
        <w:rPr>
          <w:bCs w:val="false"/>
          <w:szCs w:val="28"/>
        </w:rPr>
      </w:pPr>
      <w:r>
        <w:rPr>
          <w:bCs w:val="false"/>
          <w:szCs w:val="28"/>
        </w:rPr>
        <w:t>5. Проведення конкурсу та визначення переможця</w:t>
      </w:r>
    </w:p>
    <w:p>
      <w:pPr>
        <w:pStyle w:val="Normal"/>
        <w:ind w:firstLine="567"/>
        <w:jc w:val="both"/>
        <w:rPr/>
      </w:pPr>
      <w:r>
        <w:rPr/>
        <w:t xml:space="preserve">5.1. Комісія перед початком конкурсу проводить відкрите засідання, на якому опрацьовує подані заяви на допуск до конкурсу, перевіряє повноваження осіб, що прибули на конкурс, реєструє учасників конкурсу та, у випадках передбачених цим Положенням, ухвалює рішення про відмову в участі. </w:t>
      </w:r>
    </w:p>
    <w:p>
      <w:pPr>
        <w:pStyle w:val="Normal"/>
        <w:ind w:firstLine="567"/>
        <w:jc w:val="both"/>
        <w:rPr/>
      </w:pPr>
      <w:r>
        <w:rPr/>
        <w:t>5.2. Підставою для відмови в участі є:</w:t>
      </w:r>
    </w:p>
    <w:p>
      <w:pPr>
        <w:pStyle w:val="Normal"/>
        <w:ind w:firstLine="567"/>
        <w:jc w:val="both"/>
        <w:rPr/>
      </w:pPr>
      <w:r>
        <w:rPr/>
        <w:t>неподання документів, зазначених у пункті 3.1. цього Положення;</w:t>
      </w:r>
    </w:p>
    <w:p>
      <w:pPr>
        <w:pStyle w:val="Normal"/>
        <w:ind w:firstLine="567"/>
        <w:jc w:val="both"/>
        <w:rPr/>
      </w:pPr>
      <w:r>
        <w:rPr/>
        <w:t>подання недостовірних відомостей;</w:t>
      </w:r>
    </w:p>
    <w:p>
      <w:pPr>
        <w:pStyle w:val="Normal"/>
        <w:ind w:firstLine="567"/>
        <w:jc w:val="both"/>
        <w:rPr/>
      </w:pPr>
      <w:r>
        <w:rPr/>
        <w:t>наявність обґрунтованих та підтверджених фактів порушення у процесі провадження заявником підприємницької діяльності.</w:t>
      </w:r>
    </w:p>
    <w:p>
      <w:pPr>
        <w:pStyle w:val="Normal"/>
        <w:ind w:firstLine="567"/>
        <w:jc w:val="both"/>
        <w:rPr/>
      </w:pPr>
      <w:r>
        <w:rPr/>
        <w:t>відмова підписувати протокол, укладати Договір за результатами раніше проведених конкурсів за цим самим місцем (лотом).</w:t>
      </w:r>
    </w:p>
    <w:p>
      <w:pPr>
        <w:pStyle w:val="Normal"/>
        <w:ind w:firstLine="567"/>
        <w:jc w:val="both"/>
        <w:rPr/>
      </w:pPr>
      <w:r>
        <w:rPr/>
        <w:t>Відмова з інших підстав не допускається. Рішення комісії та підстави відмови (вибуття) фіксуються у протоколі конкурсу. Повноваження учасників конкурсу та їх представників повинні бути документально підтверджені.</w:t>
      </w:r>
    </w:p>
    <w:p>
      <w:pPr>
        <w:pStyle w:val="Normal"/>
        <w:ind w:firstLine="567"/>
        <w:jc w:val="both"/>
        <w:rPr/>
      </w:pPr>
      <w:r>
        <w:rPr/>
        <w:t>5.3. Учасники, які не з’явилися або не направили на конкурс своїх представників, вважаються такими, що вибули з конкурсу.</w:t>
      </w:r>
    </w:p>
    <w:p>
      <w:pPr>
        <w:pStyle w:val="Normal"/>
        <w:ind w:firstLine="567"/>
        <w:jc w:val="both"/>
        <w:rPr/>
      </w:pPr>
      <w:r>
        <w:rPr/>
        <w:t>5.4. Конкурс проводить особа, визначена комісією. Ведучий роз’яснює умови конкурсу та порядок його проведення.</w:t>
      </w:r>
    </w:p>
    <w:p>
      <w:pPr>
        <w:pStyle w:val="Normal"/>
        <w:ind w:firstLine="567"/>
        <w:jc w:val="both"/>
        <w:rPr/>
      </w:pPr>
      <w:r>
        <w:rPr/>
        <w:t>5.5. Початком конкурсу вважається момент оголошення ведучим стартової ціни на об’єкт конкурсу. Підвищення стартової ціни здійснюється шляхом надбавок з кроком не менше 20 % від її початкового розміру. Переможцем конкурсу визначається особа, що запропонувала найвищий розмір місячної плати за користування окремими елементами благоустрою комунальної власності для розміщення тимчасової споруди. У разі відмови переможцем підписувати протокол, право переможця та підпису протоколу надається наступному учаснику, що запропонував найвищий розмір місячної плати за користування окремими елементами благоустрою комунальної власності для розміщення тимчасової споруди. Якщо і друга особа відмовляється від підпису протоколу, конкурс вважається таким, що не відбувся, гарантійні внески цих учасників не повертаються та зараховуються до бюджету Луцької міської територіальної громади.</w:t>
      </w:r>
    </w:p>
    <w:p>
      <w:pPr>
        <w:pStyle w:val="Normal"/>
        <w:ind w:firstLine="567"/>
        <w:jc w:val="both"/>
        <w:rPr/>
      </w:pPr>
      <w:r>
        <w:rPr/>
        <w:t>5.6. Комісія у присутності учасників оголошує результат конкурсу, переможця та умови, на яких буде укладено з ним Договір.</w:t>
      </w:r>
    </w:p>
    <w:p>
      <w:pPr>
        <w:pStyle w:val="Normal"/>
        <w:ind w:firstLine="567"/>
        <w:jc w:val="both"/>
        <w:rPr/>
      </w:pPr>
      <w:r>
        <w:rPr/>
      </w:r>
    </w:p>
    <w:p>
      <w:pPr>
        <w:pStyle w:val="Normal"/>
        <w:jc w:val="center"/>
        <w:rPr/>
      </w:pPr>
      <w:r>
        <w:rPr/>
        <w:t>6. Оформлення права на користування окремими елементами</w:t>
      </w:r>
    </w:p>
    <w:p>
      <w:pPr>
        <w:pStyle w:val="Normal"/>
        <w:jc w:val="center"/>
        <w:rPr/>
      </w:pPr>
      <w:r>
        <w:rPr/>
        <w:t>благоустрою комунальної власності для розміщення тимчасових споруд</w:t>
      </w:r>
    </w:p>
    <w:p>
      <w:pPr>
        <w:pStyle w:val="Normal"/>
        <w:ind w:firstLine="567"/>
        <w:jc w:val="both"/>
        <w:rPr/>
      </w:pPr>
      <w:r>
        <w:rPr/>
        <w:t>6.1. Договір укладається з переможцем конкурсу протягом 3-х робочих днів після отримання паспорта прив’язки.</w:t>
      </w:r>
    </w:p>
    <w:p>
      <w:pPr>
        <w:pStyle w:val="Normal"/>
        <w:ind w:firstLine="567"/>
        <w:jc w:val="both"/>
        <w:rPr/>
      </w:pPr>
      <w:r>
        <w:rPr/>
        <w:t>6.1.1. У разі якщо в одному лоті торгів було декілька місць для розміщення ТС, Договір укладається з переможцем торгів одним Договором з вказанням всіх місць, які містилися в лоті.</w:t>
      </w:r>
    </w:p>
    <w:p>
      <w:pPr>
        <w:pStyle w:val="Normal"/>
        <w:ind w:firstLine="567"/>
        <w:jc w:val="both"/>
        <w:rPr/>
      </w:pPr>
      <w:r>
        <w:rPr/>
        <w:t>6.1.2. Усі укладені Договори підлягають проведенню щорічної індексації.</w:t>
      </w:r>
    </w:p>
    <w:p>
      <w:pPr>
        <w:pStyle w:val="Normal"/>
        <w:ind w:firstLine="567"/>
        <w:jc w:val="both"/>
        <w:rPr/>
      </w:pPr>
      <w:r>
        <w:rPr/>
        <w:t>6.1.3. Продовження Договорів, розмір плати яких встановлено за результатами проведених конкурсів, здійснюється з урахуванням щорічних індексів інфляції за ті роки, які передують року укладення (продовження) Договору (з дати укладення першого Договору за вказаною адресою переможцем конкурсу).</w:t>
      </w:r>
    </w:p>
    <w:p>
      <w:pPr>
        <w:pStyle w:val="Normal"/>
        <w:ind w:firstLine="567"/>
        <w:jc w:val="both"/>
        <w:rPr/>
      </w:pPr>
      <w:r>
        <w:rPr/>
        <w:t>6.2. В Договорі вказується термін, на який він укладений, плата за користування окремими елементами благоустрою комунальної власності, умови використання. Внесення в Договір додаткових умов, що не були передбачені умовами конкурсу, не допускається.</w:t>
      </w:r>
    </w:p>
    <w:p>
      <w:pPr>
        <w:pStyle w:val="Normal"/>
        <w:ind w:firstLine="567"/>
        <w:jc w:val="both"/>
        <w:rPr/>
      </w:pPr>
      <w:r>
        <w:rPr/>
        <w:t>6.3. У разі відмови переможця конкурсу підписувати протокол, укладати Договір – такий суб’єкт господарювання не допускається до повторного конкурсу по цьому об’єкту.</w:t>
      </w:r>
    </w:p>
    <w:p>
      <w:pPr>
        <w:pStyle w:val="Normal"/>
        <w:ind w:firstLine="567"/>
        <w:jc w:val="both"/>
        <w:rPr/>
      </w:pPr>
      <w:r>
        <w:rPr/>
        <w:t xml:space="preserve">Уповноваженому органу з питань містобудування та архітектури надається право повторно надати пропозиції для проведення конкурсу щодо цього лоту. </w:t>
      </w:r>
    </w:p>
    <w:p>
      <w:pPr>
        <w:pStyle w:val="Normal"/>
        <w:ind w:firstLine="567"/>
        <w:jc w:val="both"/>
        <w:rPr/>
      </w:pPr>
      <w:r>
        <w:rPr/>
        <w:t>6.4. У разі, якщо ТС, яка встановлюється за результатами конкурсу не демонтується, але її функціонування не здійснюється, розмір плати за тимчасове користування тимчасовою спорудою становить 35 % від базового розміру плати запропонованого Користувачем за результатами проведеного конкурсу.</w:t>
      </w:r>
    </w:p>
    <w:p>
      <w:pPr>
        <w:pStyle w:val="Normal"/>
        <w:ind w:firstLine="567"/>
        <w:jc w:val="both"/>
        <w:rPr>
          <w:szCs w:val="28"/>
        </w:rPr>
      </w:pPr>
      <w:r>
        <w:rPr/>
        <w:t xml:space="preserve">6.5. Розрахунок плати за додаткове розміщення літніх торговельних майданчиків поруч ТС, які  набули право тимчасового користування окремими елементами благоустрою комунальної власності для провадження підприємницької діяльності за результатами конкурсу, здійснюється відповідно до Методики розрахунку плати за тимчасове користування окремими елементами благоустрою комунальної власності, затвердженої </w:t>
      </w:r>
      <w:r>
        <w:rPr>
          <w:szCs w:val="28"/>
        </w:rPr>
        <w:t>рішенням міської ради від 22.02.2023 № 41/96 «Про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p>
    <w:p>
      <w:pPr>
        <w:pStyle w:val="Normal"/>
        <w:ind w:firstLine="567"/>
        <w:jc w:val="both"/>
        <w:rPr>
          <w:bCs w:val="false"/>
          <w:color w:val="FF0000"/>
          <w:szCs w:val="28"/>
        </w:rPr>
      </w:pPr>
      <w:r>
        <w:rPr>
          <w:bCs w:val="false"/>
          <w:color w:val="FF0000"/>
          <w:szCs w:val="28"/>
        </w:rPr>
      </w:r>
    </w:p>
    <w:p>
      <w:pPr>
        <w:pStyle w:val="Normal"/>
        <w:widowControl w:val="false"/>
        <w:suppressAutoHyphens w:val="false"/>
        <w:ind w:firstLine="680"/>
        <w:jc w:val="both"/>
        <w:rPr>
          <w:bCs w:val="false"/>
          <w:szCs w:val="28"/>
        </w:rPr>
      </w:pPr>
      <w:r>
        <w:rPr>
          <w:bCs w:val="false"/>
          <w:szCs w:val="28"/>
        </w:rPr>
      </w:r>
    </w:p>
    <w:p>
      <w:pPr>
        <w:pStyle w:val="Normal"/>
        <w:widowControl w:val="false"/>
        <w:suppressAutoHyphens w:val="false"/>
        <w:ind w:firstLine="680"/>
        <w:jc w:val="both"/>
        <w:rPr>
          <w:bCs w:val="false"/>
          <w:szCs w:val="28"/>
        </w:rPr>
      </w:pPr>
      <w:r>
        <w:rPr>
          <w:bCs w:val="false"/>
          <w:szCs w:val="28"/>
        </w:rPr>
      </w:r>
    </w:p>
    <w:p>
      <w:pPr>
        <w:pStyle w:val="Normal"/>
        <w:widowControl w:val="false"/>
        <w:suppressAutoHyphens w:val="false"/>
        <w:jc w:val="both"/>
        <w:rPr>
          <w:bCs w:val="false"/>
          <w:szCs w:val="28"/>
        </w:rPr>
      </w:pPr>
      <w:r>
        <w:rPr>
          <w:bCs w:val="false"/>
          <w:szCs w:val="28"/>
        </w:rPr>
        <w:t>Заступник міського голови,</w:t>
      </w:r>
    </w:p>
    <w:p>
      <w:pPr>
        <w:pStyle w:val="Normal"/>
        <w:widowControl w:val="false"/>
        <w:suppressAutoHyphens w:val="false"/>
        <w:jc w:val="both"/>
        <w:rPr>
          <w:bCs w:val="false"/>
          <w:szCs w:val="28"/>
        </w:rPr>
      </w:pPr>
      <w:r>
        <w:rPr>
          <w:bCs w:val="false"/>
          <w:szCs w:val="28"/>
        </w:rPr>
        <w:t>керуючий справами виконкому</w:t>
        <w:tab/>
        <w:tab/>
        <w:tab/>
        <w:tab/>
        <w:tab/>
        <w:t>Юрій ВЕРБИЧ</w:t>
      </w:r>
    </w:p>
    <w:p>
      <w:pPr>
        <w:pStyle w:val="Normal"/>
        <w:widowControl w:val="false"/>
        <w:suppressAutoHyphens w:val="false"/>
        <w:ind w:firstLine="680"/>
        <w:jc w:val="both"/>
        <w:rPr>
          <w:bCs w:val="false"/>
          <w:szCs w:val="28"/>
        </w:rPr>
      </w:pPr>
      <w:r>
        <w:rPr>
          <w:bCs w:val="false"/>
          <w:szCs w:val="28"/>
        </w:rPr>
      </w:r>
    </w:p>
    <w:p>
      <w:pPr>
        <w:pStyle w:val="Normal"/>
        <w:widowControl w:val="false"/>
        <w:suppressAutoHyphens w:val="false"/>
        <w:ind w:firstLine="680"/>
        <w:jc w:val="both"/>
        <w:rPr>
          <w:bCs w:val="false"/>
          <w:szCs w:val="28"/>
        </w:rPr>
      </w:pPr>
      <w:r>
        <w:rPr>
          <w:bCs w:val="false"/>
          <w:szCs w:val="28"/>
        </w:rPr>
      </w:r>
    </w:p>
    <w:p>
      <w:pPr>
        <w:pStyle w:val="Normal"/>
        <w:widowControl w:val="false"/>
        <w:suppressAutoHyphens w:val="false"/>
        <w:jc w:val="both"/>
        <w:rPr>
          <w:bCs w:val="false"/>
          <w:sz w:val="24"/>
        </w:rPr>
      </w:pPr>
      <w:r>
        <w:rPr>
          <w:bCs w:val="false"/>
          <w:sz w:val="24"/>
        </w:rPr>
        <w:t>Туз 777 863</w:t>
      </w:r>
    </w:p>
    <w:p>
      <w:pPr>
        <w:pStyle w:val="Normal"/>
        <w:widowControl w:val="false"/>
        <w:suppressAutoHyphens w:val="false"/>
        <w:jc w:val="both"/>
        <w:rPr>
          <w:bCs w:val="false"/>
          <w:sz w:val="24"/>
        </w:rPr>
      </w:pPr>
      <w:r>
        <w:rPr>
          <w:bCs w:val="false"/>
          <w:sz w:val="24"/>
        </w:rPr>
        <w:t>Тарасюк 777 881</w:t>
      </w:r>
    </w:p>
    <w:p>
      <w:pPr>
        <w:pStyle w:val="Normal"/>
        <w:widowControl w:val="false"/>
        <w:suppressAutoHyphens w:val="false"/>
        <w:jc w:val="both"/>
        <w:rPr/>
      </w:pPr>
      <w:r>
        <w:rPr/>
      </w:r>
    </w:p>
    <w:sectPr>
      <w:headerReference w:type="default" r:id="rId2"/>
      <w:type w:val="nextPage"/>
      <w:pgSz w:w="11906" w:h="16838"/>
      <w:pgMar w:left="1985" w:right="567" w:header="0" w:top="567" w:footer="0" w:bottom="1134" w:gutter="0"/>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96854177"/>
    </w:sdtPr>
    <w:sdtContent>
      <w:p>
        <w:pPr>
          <w:pStyle w:val="Style21"/>
          <w:jc w:val="center"/>
          <w:rPr/>
        </w:pPr>
        <w:r>
          <w:rPr/>
        </w:r>
      </w:p>
      <w:p>
        <w:pPr>
          <w:pStyle w:val="Style21"/>
          <w:jc w:val="center"/>
          <w:rPr/>
        </w:pPr>
        <w:r>
          <w:rPr/>
          <w:fldChar w:fldCharType="begin"/>
        </w:r>
        <w:r>
          <w:rPr/>
          <w:instrText> PAGE </w:instrText>
        </w:r>
        <w:r>
          <w:rPr/>
          <w:fldChar w:fldCharType="separate"/>
        </w:r>
        <w:r>
          <w:rPr/>
          <w:t>6</w:t>
        </w:r>
        <w:r>
          <w:rPr/>
          <w:fldChar w:fldCharType="end"/>
        </w:r>
      </w:p>
    </w:sdtContent>
  </w:sdt>
  <w:p>
    <w:pPr>
      <w:pStyle w:val="Style21"/>
      <w:rPr/>
    </w:pPr>
    <w:r>
      <w:rPr/>
    </w:r>
  </w:p>
</w:hd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6884"/>
    <w:pPr>
      <w:widowControl/>
      <w:suppressAutoHyphens w:val="true"/>
      <w:bidi w:val="0"/>
      <w:jc w:val="left"/>
    </w:pPr>
    <w:rPr>
      <w:rFonts w:ascii="Times New Roman" w:hAnsi="Times New Roman" w:eastAsia="Times New Roman" w:cs="Times New Roman"/>
      <w:bCs/>
      <w:color w:val="auto"/>
      <w:kern w:val="0"/>
      <w:sz w:val="28"/>
      <w:szCs w:val="24"/>
      <w:lang w:val="uk-UA" w:eastAsia="ru-RU" w:bidi="ar-SA"/>
    </w:rPr>
  </w:style>
  <w:style w:type="paragraph" w:styleId="1">
    <w:name w:val="Heading 1"/>
    <w:basedOn w:val="Normal"/>
    <w:link w:val="10"/>
    <w:qFormat/>
    <w:rsid w:val="00cc6884"/>
    <w:pPr>
      <w:keepNext w:val="true"/>
      <w:jc w:val="center"/>
      <w:outlineLvl w:val="0"/>
    </w:pPr>
    <w:rPr>
      <w:b/>
      <w:sz w:val="32"/>
    </w:rPr>
  </w:style>
  <w:style w:type="paragraph" w:styleId="2">
    <w:name w:val="Heading 2"/>
    <w:basedOn w:val="Normal"/>
    <w:link w:val="20"/>
    <w:qFormat/>
    <w:rsid w:val="00cc6884"/>
    <w:pPr>
      <w:keepNext w:val="true"/>
      <w:spacing w:before="240" w:after="60"/>
      <w:outlineLvl w:val="1"/>
    </w:pPr>
    <w:rPr>
      <w:rFonts w:ascii="Arial" w:hAnsi="Arial" w:cs="Arial"/>
      <w:b/>
      <w:i/>
      <w:iCs/>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cc6884"/>
    <w:rPr>
      <w:rFonts w:ascii="Times New Roman" w:hAnsi="Times New Roman" w:eastAsia="Times New Roman" w:cs="Times New Roman"/>
      <w:b/>
      <w:bCs/>
      <w:sz w:val="32"/>
      <w:szCs w:val="24"/>
      <w:lang w:val="uk-UA" w:eastAsia="ru-RU"/>
    </w:rPr>
  </w:style>
  <w:style w:type="character" w:styleId="21" w:customStyle="1">
    <w:name w:val="Заголовок 2 Знак"/>
    <w:basedOn w:val="DefaultParagraphFont"/>
    <w:link w:val="2"/>
    <w:qFormat/>
    <w:rsid w:val="00cc6884"/>
    <w:rPr>
      <w:rFonts w:ascii="Arial" w:hAnsi="Arial" w:eastAsia="Times New Roman" w:cs="Arial"/>
      <w:b/>
      <w:bCs/>
      <w:i/>
      <w:iCs/>
      <w:sz w:val="28"/>
      <w:szCs w:val="28"/>
      <w:lang w:val="uk-UA" w:eastAsia="ru-RU"/>
    </w:rPr>
  </w:style>
  <w:style w:type="character" w:styleId="WW8Num1z2" w:customStyle="1">
    <w:name w:val="WW8Num1z2"/>
    <w:qFormat/>
    <w:rsid w:val="006b1dfe"/>
    <w:rPr>
      <w:b/>
      <w:bCs/>
      <w:szCs w:val="28"/>
    </w:rPr>
  </w:style>
  <w:style w:type="character" w:styleId="Style12">
    <w:name w:val="Гіперпосилання"/>
    <w:basedOn w:val="DefaultParagraphFont"/>
    <w:uiPriority w:val="99"/>
    <w:semiHidden/>
    <w:unhideWhenUsed/>
    <w:rsid w:val="004e609a"/>
    <w:rPr>
      <w:color w:val="0000FF"/>
      <w:u w:val="single"/>
    </w:rPr>
  </w:style>
  <w:style w:type="character" w:styleId="Style13" w:customStyle="1">
    <w:name w:val="Верхній колонтитул Знак"/>
    <w:basedOn w:val="DefaultParagraphFont"/>
    <w:link w:val="ab"/>
    <w:uiPriority w:val="99"/>
    <w:qFormat/>
    <w:rsid w:val="009a1f44"/>
    <w:rPr>
      <w:rFonts w:ascii="Times New Roman" w:hAnsi="Times New Roman" w:eastAsia="Times New Roman" w:cs="Times New Roman"/>
      <w:bCs/>
      <w:sz w:val="28"/>
      <w:szCs w:val="24"/>
      <w:lang w:val="uk-UA" w:eastAsia="ru-RU"/>
    </w:rPr>
  </w:style>
  <w:style w:type="character" w:styleId="Style14" w:customStyle="1">
    <w:name w:val="Нижній колонтитул Знак"/>
    <w:basedOn w:val="DefaultParagraphFont"/>
    <w:link w:val="ad"/>
    <w:uiPriority w:val="99"/>
    <w:qFormat/>
    <w:rsid w:val="009a1f44"/>
    <w:rPr>
      <w:rFonts w:ascii="Times New Roman" w:hAnsi="Times New Roman" w:eastAsia="Times New Roman" w:cs="Times New Roman"/>
      <w:bCs/>
      <w:sz w:val="28"/>
      <w:szCs w:val="24"/>
      <w:lang w:val="uk-UA" w:eastAsia="ru-RU"/>
    </w:rPr>
  </w:style>
  <w:style w:type="paragraph" w:styleId="Style15" w:customStyle="1">
    <w:name w:val="Заголовок"/>
    <w:basedOn w:val="Normal"/>
    <w:next w:val="Style16"/>
    <w:qFormat/>
    <w:pPr>
      <w:keepNext w:val="true"/>
      <w:spacing w:before="240" w:after="120"/>
    </w:pPr>
    <w:rPr>
      <w:rFonts w:ascii="Liberation Sans" w:hAnsi="Liberation Sans" w:eastAsia="Microsoft YaHei" w:cs="Arial"/>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Mangal"/>
      <w:i/>
      <w:iCs/>
      <w:sz w:val="24"/>
      <w:szCs w:val="24"/>
    </w:rPr>
  </w:style>
  <w:style w:type="paragraph" w:styleId="Style19"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rPr>
  </w:style>
  <w:style w:type="paragraph" w:styleId="ListParagraph">
    <w:name w:val="List Paragraph"/>
    <w:basedOn w:val="Normal"/>
    <w:uiPriority w:val="34"/>
    <w:qFormat/>
    <w:rsid w:val="00556589"/>
    <w:pPr>
      <w:spacing w:before="0" w:after="0"/>
      <w:ind w:left="720" w:hanging="0"/>
      <w:contextualSpacing/>
    </w:pPr>
    <w:rPr/>
  </w:style>
  <w:style w:type="paragraph" w:styleId="Style20" w:customStyle="1">
    <w:name w:val="Содержимое таблицы"/>
    <w:basedOn w:val="Normal"/>
    <w:qFormat/>
    <w:rsid w:val="003c4327"/>
    <w:pPr>
      <w:widowControl w:val="false"/>
      <w:suppressLineNumbers/>
    </w:pPr>
    <w:rPr>
      <w:rFonts w:eastAsia="Arial Unicode MS" w:cs="Mangal"/>
      <w:bCs w:val="false"/>
      <w:kern w:val="2"/>
      <w:sz w:val="24"/>
      <w:lang w:val="ru-RU" w:eastAsia="hi-IN" w:bidi="hi-IN"/>
    </w:rPr>
  </w:style>
  <w:style w:type="paragraph" w:styleId="FR4" w:customStyle="1">
    <w:name w:val="FR4"/>
    <w:qFormat/>
    <w:rsid w:val="00e47366"/>
    <w:pPr>
      <w:widowControl w:val="false"/>
      <w:bidi w:val="0"/>
      <w:spacing w:lineRule="auto" w:line="360" w:before="260" w:after="0"/>
      <w:ind w:right="3400" w:hanging="0"/>
      <w:jc w:val="left"/>
    </w:pPr>
    <w:rPr>
      <w:rFonts w:ascii="Arial" w:hAnsi="Arial" w:cs="Arial" w:eastAsia="Calibri" w:eastAsiaTheme="minorHAnsi"/>
      <w:color w:val="auto"/>
      <w:kern w:val="0"/>
      <w:sz w:val="24"/>
      <w:szCs w:val="24"/>
      <w:lang w:val="uk-UA" w:eastAsia="ru-RU" w:bidi="ar-SA"/>
    </w:rPr>
  </w:style>
  <w:style w:type="paragraph" w:styleId="Tj" w:customStyle="1">
    <w:name w:val="tj"/>
    <w:basedOn w:val="Normal"/>
    <w:qFormat/>
    <w:rsid w:val="00f92dc4"/>
    <w:pPr>
      <w:spacing w:beforeAutospacing="1" w:afterAutospacing="1"/>
    </w:pPr>
    <w:rPr>
      <w:bCs w:val="false"/>
      <w:sz w:val="24"/>
      <w:lang w:val="ru-RU"/>
    </w:rPr>
  </w:style>
  <w:style w:type="paragraph" w:styleId="Rvps2" w:customStyle="1">
    <w:name w:val="rvps2"/>
    <w:basedOn w:val="Normal"/>
    <w:qFormat/>
    <w:rsid w:val="00ed780d"/>
    <w:pPr>
      <w:spacing w:beforeAutospacing="1" w:afterAutospacing="1"/>
    </w:pPr>
    <w:rPr>
      <w:bCs w:val="false"/>
      <w:sz w:val="24"/>
      <w:lang w:eastAsia="uk-UA"/>
    </w:rPr>
  </w:style>
  <w:style w:type="paragraph" w:styleId="12" w:customStyle="1">
    <w:name w:val="Абзац списка1"/>
    <w:basedOn w:val="Normal"/>
    <w:qFormat/>
    <w:rsid w:val="0000530d"/>
    <w:pPr>
      <w:spacing w:before="0" w:after="0"/>
      <w:ind w:left="720" w:hanging="0"/>
      <w:contextualSpacing/>
    </w:pPr>
    <w:rPr/>
  </w:style>
  <w:style w:type="paragraph" w:styleId="Style21">
    <w:name w:val="Header"/>
    <w:basedOn w:val="Normal"/>
    <w:link w:val="ac"/>
    <w:uiPriority w:val="99"/>
    <w:unhideWhenUsed/>
    <w:rsid w:val="009a1f44"/>
    <w:pPr>
      <w:tabs>
        <w:tab w:val="center" w:pos="4986" w:leader="none"/>
        <w:tab w:val="right" w:pos="9973" w:leader="none"/>
      </w:tabs>
    </w:pPr>
    <w:rPr/>
  </w:style>
  <w:style w:type="paragraph" w:styleId="Style22">
    <w:name w:val="Footer"/>
    <w:basedOn w:val="Normal"/>
    <w:link w:val="ae"/>
    <w:uiPriority w:val="99"/>
    <w:unhideWhenUsed/>
    <w:rsid w:val="009a1f44"/>
    <w:pPr>
      <w:tabs>
        <w:tab w:val="center" w:pos="4986" w:leader="none"/>
        <w:tab w:val="right" w:pos="9973"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FFEDF-7FE0-41A7-B054-0CE79230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Application>LibreOffice/6.0.3.2$Windows_X86_64 LibreOffice_project/8f48d515416608e3a835360314dac7e47fd0b821</Application>
  <Pages>4</Pages>
  <Words>1828</Words>
  <Characters>12935</Characters>
  <CharactersWithSpaces>14696</CharactersWithSpaces>
  <Paragraphs>92</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2023-02-21T09:03:00Z</dcterms:created>
  <dc:creator>archgeo1</dc:creator>
  <dc:description/>
  <dc:language>uk-UA</dc:language>
  <cp:lastModifiedBy>Поліщук Оксана Анатоліївна</cp:lastModifiedBy>
  <cp:lastPrinted>2018-09-18T08:16:00Z</cp:lastPrinted>
  <dcterms:modified xsi:type="dcterms:W3CDTF">2023-02-22T14:18:00Z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