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rFonts w:eastAsia="Courier New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/>
        </w:rPr>
        <w:t>Додаток 1</w:t>
      </w:r>
    </w:p>
    <w:p>
      <w:pPr>
        <w:pStyle w:val="Style27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</w:r>
    </w:p>
    <w:p>
      <w:pPr>
        <w:pStyle w:val="Style27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  <w:t>Інформація про кількість рядків у відомостях щомісячного поновлення</w:t>
      </w:r>
    </w:p>
    <w:p>
      <w:pPr>
        <w:pStyle w:val="Style27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 w:val="false"/>
          <w:b w:val="false"/>
          <w:bCs w:val="false"/>
          <w:color w:val="000000"/>
          <w:sz w:val="26"/>
          <w:szCs w:val="26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0"/>
          <w:sz w:val="26"/>
          <w:szCs w:val="26"/>
          <w:highlight w:val="white"/>
          <w:lang w:val="uk-UA"/>
        </w:rPr>
      </w:r>
    </w:p>
    <w:tbl>
      <w:tblPr>
        <w:tblW w:w="9870" w:type="dxa"/>
        <w:jc w:val="left"/>
        <w:tblInd w:w="-242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465"/>
        <w:gridCol w:w="5894"/>
        <w:gridCol w:w="13"/>
        <w:gridCol w:w="1498"/>
      </w:tblGrid>
      <w:tr>
        <w:trPr/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color w:val="auto"/>
              </w:rPr>
            </w:pPr>
            <w:bookmarkStart w:id="0" w:name="__DdeLink__2678_2219782697"/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Луцький відділ №1 Управління Державної міграційної служби України у Волинській області</w:t>
            </w:r>
            <w:bookmarkEnd w:id="0"/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/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rFonts w:ascii="Times New Roman" w:hAnsi="Times New Roman" w:eastAsia="Courier New" w:cs="Courier New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highlight w:val="white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u w:val="none"/>
                <w:lang w:val="uk-UA" w:eastAsia="zxx" w:bidi="zxx"/>
              </w:rPr>
              <w:t>152</w:t>
            </w:r>
          </w:p>
        </w:tc>
      </w:tr>
      <w:tr>
        <w:trPr>
          <w:trHeight w:val="932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1</w:t>
            </w:r>
          </w:p>
        </w:tc>
      </w:tr>
      <w:tr>
        <w:trPr>
          <w:trHeight w:val="1177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" w:name="__DdeLink__1250_1253642994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  <w:lang w:val="uk-UA" w:eastAsia="zxx" w:bidi="zxx"/>
              </w:rPr>
              <w:t>вересн</w:t>
            </w:r>
            <w:bookmarkStart w:id="2" w:name="__DdeLink__875_33684333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я</w:t>
            </w:r>
            <w:bookmarkEnd w:id="1"/>
            <w:bookmarkEnd w:id="2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u w:val="none"/>
                <w:lang w:val="uk-UA" w:eastAsia="zxx" w:bidi="zxx"/>
              </w:rPr>
              <w:t>151</w:t>
            </w:r>
          </w:p>
        </w:tc>
      </w:tr>
      <w:tr>
        <w:trPr>
          <w:trHeight w:val="1206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3</w:t>
            </w:r>
          </w:p>
        </w:tc>
      </w:tr>
      <w:tr>
        <w:trPr>
          <w:trHeight w:val="884" w:hRule="atLeast"/>
        </w:trPr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ind w:left="0" w:right="0" w:hanging="0"/>
              <w:jc w:val="left"/>
              <w:rPr>
                <w:color w:val="auto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Луцький відділ №2 Управління Державної міграційної служби України у Волинській області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616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rFonts w:ascii="Times New Roman" w:hAnsi="Times New Roman" w:eastAsia="Courier New" w:cs="Courier New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lang w:val="uk-UA" w:eastAsia="zxx" w:bidi="zxx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rFonts w:ascii="Times New Roman" w:hAnsi="Times New Roman" w:eastAsia="Courier New" w:cs="Courier New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  <w:lang w:val="uk-UA" w:eastAsia="zxx" w:bidi="zxx"/>
              </w:rPr>
              <w:t>вересн</w:t>
            </w:r>
            <w:bookmarkStart w:id="3" w:name="__DdeLink__875_336843331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я</w:t>
            </w:r>
            <w:bookmarkEnd w:id="3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11</w:t>
            </w:r>
          </w:p>
        </w:tc>
      </w:tr>
      <w:tr>
        <w:trPr>
          <w:trHeight w:val="1206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color w:val="auto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Рожищенський відділ Управління Державної міграційної служби України у Волинській області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587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23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895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  <w:lang w:val="uk-UA" w:eastAsia="zxx" w:bidi="zxx"/>
              </w:rPr>
              <w:t>вересн</w:t>
            </w:r>
            <w:bookmarkStart w:id="4" w:name="__DdeLink__875_336843332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я</w:t>
            </w:r>
            <w:bookmarkEnd w:id="4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4" w:hRule="atLeast"/>
        </w:trPr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color w:val="auto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1206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000000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  <w:lang w:val="uk-UA" w:eastAsia="zxx" w:bidi="zxx"/>
              </w:rPr>
              <w:t>вересн</w:t>
            </w:r>
            <w:bookmarkStart w:id="5" w:name="__DdeLink__875_336843333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я</w:t>
            </w:r>
            <w:bookmarkEnd w:id="5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7</w:t>
            </w:r>
          </w:p>
        </w:tc>
      </w:tr>
      <w:tr>
        <w:trPr>
          <w:trHeight w:val="1206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Луцької міської ради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000000"/>
              </w:rPr>
            </w:pPr>
            <w:bookmarkStart w:id="6" w:name="__DdeLink__1221_2682262711"/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kern w:val="0"/>
                <w:sz w:val="24"/>
                <w:szCs w:val="24"/>
                <w:lang w:val="uk-UA" w:eastAsia="zxx" w:bidi="zxx"/>
              </w:rPr>
              <w:t>вересн</w:t>
            </w:r>
            <w:bookmarkStart w:id="7" w:name="__DdeLink__875_336843334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 w:eastAsia="zxx" w:bidi="zxx"/>
              </w:rPr>
              <w:t>я</w:t>
            </w:r>
            <w:bookmarkEnd w:id="7"/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  <w:bookmarkEnd w:id="6"/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uk-UA" w:eastAsia="zxx" w:bidi="zxx"/>
              </w:rPr>
              <w:t>176</w:t>
            </w:r>
          </w:p>
        </w:tc>
      </w:tr>
      <w:tr>
        <w:trPr/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uk-UA" w:eastAsia="zxx" w:bidi="zxx"/>
              </w:rPr>
              <w:t>570</w:t>
            </w:r>
          </w:p>
        </w:tc>
      </w:tr>
      <w:tr>
        <w:trPr>
          <w:trHeight w:val="954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749</w:t>
            </w:r>
          </w:p>
        </w:tc>
      </w:tr>
      <w:tr>
        <w:trPr>
          <w:trHeight w:val="938" w:hRule="atLeast"/>
        </w:trPr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auto"/>
              </w:rPr>
            </w:pPr>
            <w:r>
              <w:rPr>
                <w:color w:val="000000"/>
              </w:rPr>
              <w:t xml:space="preserve">МінЮст (ДРАЦС) 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в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заємодія із Державним реєстром актів цивільного стану на центральному рівні в електронному вигляді</w:t>
            </w:r>
            <w:r>
              <w:rPr>
                <w:rFonts w:ascii="Open Sans;Helvetica Neue;Helvetica;Arial;sans-serif" w:hAnsi="Open Sans;Helvetica Neue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виборців, смерть яких зареєстровано протягом попереднього </w:t>
            </w:r>
            <w:r>
              <w:rPr>
                <w:rFonts w:eastAsia="Arial Unicode MS" w:cs="Tahoma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дня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auto"/>
              </w:rPr>
            </w:pPr>
            <w:r>
              <w:rPr>
                <w:color w:val="000000"/>
              </w:rPr>
              <w:t>287</w:t>
            </w:r>
          </w:p>
        </w:tc>
      </w:tr>
      <w:tr>
        <w:trPr>
          <w:trHeight w:val="1144" w:hRule="atLeast"/>
        </w:trPr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auto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1141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u w:val="none"/>
                <w:lang w:val="uk-UA" w:eastAsia="zxx" w:bidi="zxx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u w:val="none"/>
                <w:lang w:val="uk-UA" w:eastAsia="zxx" w:bidi="zxx"/>
              </w:rPr>
              <w:t>3</w:t>
            </w:r>
          </w:p>
        </w:tc>
      </w:tr>
      <w:tr>
        <w:trPr>
          <w:trHeight w:val="925" w:hRule="atLeast"/>
        </w:trPr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color w:val="auto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А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en-US"/>
              </w:rPr>
              <w:t>0959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</w:p>
        </w:tc>
      </w:tr>
      <w:tr>
        <w:trPr>
          <w:trHeight w:val="949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>
          <w:trHeight w:val="653" w:hRule="atLeast"/>
        </w:trPr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auto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прибули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1</w:t>
            </w:r>
          </w:p>
        </w:tc>
      </w:tr>
      <w:tr>
        <w:trPr/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auto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3</w:t>
            </w:r>
          </w:p>
        </w:tc>
      </w:tr>
      <w:tr>
        <w:trPr/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0"/>
              <w:snapToGrid w:val="false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0"/>
              <w:jc w:val="left"/>
              <w:rPr>
                <w:color w:val="auto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Територіальний центр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en-US"/>
              </w:rPr>
              <w:t>соціального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обслуговування (надання соціальних послуг) м.Луцька 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5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color w:val="000000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583" w:hRule="atLeast"/>
        </w:trPr>
        <w:tc>
          <w:tcPr>
            <w:tcW w:w="837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1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b/>
                <w:b/>
                <w:bCs/>
                <w:color w:val="auto"/>
              </w:rPr>
            </w:pPr>
            <w:r>
              <w:rPr>
                <w:b/>
                <w:bCs/>
                <w:color w:val="000000"/>
              </w:rPr>
              <w:t>2120</w:t>
            </w:r>
          </w:p>
        </w:tc>
      </w:tr>
    </w:tbl>
    <w:p>
      <w:pPr>
        <w:pStyle w:val="Normal"/>
        <w:pageBreakBefore w:val="false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color w:val="000000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567" w:top="1126" w:footer="0" w:bottom="209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Open Sans">
    <w:altName w:val="Helvetica Neue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00000A"/>
      <w:kern w:val="0"/>
      <w:sz w:val="24"/>
      <w:szCs w:val="24"/>
      <w:lang w:val="uk-UA" w:eastAsia="zxx" w:bidi="zxx"/>
    </w:rPr>
  </w:style>
  <w:style w:type="paragraph" w:styleId="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next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auto"/>
      <w:kern w:val="0"/>
      <w:sz w:val="24"/>
      <w:szCs w:val="24"/>
      <w:lang w:val="ru-RU" w:eastAsia="zxx" w:bidi="zxx"/>
    </w:rPr>
  </w:style>
  <w:style w:type="paragraph" w:styleId="4">
    <w:name w:val="Heading 4"/>
    <w:basedOn w:val="Style18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highlight w:val="white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Standardschriftart">
    <w:name w:val="Absatz-Standardschriftart"/>
    <w:qFormat/>
    <w:rPr/>
  </w:style>
  <w:style w:type="character" w:styleId="Style11">
    <w:name w:val="Виділення жирним"/>
    <w:qFormat/>
    <w:rPr>
      <w:b/>
      <w:bCs/>
    </w:rPr>
  </w:style>
  <w:style w:type="character" w:styleId="Style12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yle13">
    <w:name w:val="Виділення"/>
    <w:qFormat/>
    <w:rPr>
      <w:i/>
      <w:iCs/>
    </w:rPr>
  </w:style>
  <w:style w:type="character" w:styleId="Style14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Гіперпосилання"/>
    <w:qFormat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ontStyle18">
    <w:name w:val="Font Style18"/>
    <w:basedOn w:val="Style17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Tahoma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18"/>
    <w:qFormat/>
    <w:pPr/>
    <w:rPr/>
  </w:style>
  <w:style w:type="paragraph" w:styleId="Style24">
    <w:name w:val="Subtitle"/>
    <w:basedOn w:val="Style18"/>
    <w:qFormat/>
    <w:pPr>
      <w:jc w:val="center"/>
    </w:pPr>
    <w:rPr>
      <w:i/>
      <w:iCs/>
      <w:sz w:val="28"/>
      <w:szCs w:val="28"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7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28">
    <w:name w:val="Верхній і нижній колонтитули"/>
    <w:basedOn w:val="Normal"/>
    <w:qFormat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Style29">
    <w:name w:val="Footer"/>
    <w:basedOn w:val="Style28"/>
    <w:pPr>
      <w:suppressLineNumbers/>
      <w:tabs>
        <w:tab w:val="center" w:pos="4702" w:leader="none"/>
        <w:tab w:val="right" w:pos="9405" w:leader="none"/>
      </w:tabs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>
      <w:bCs w:val="false"/>
      <w:sz w:val="24"/>
    </w:rPr>
  </w:style>
  <w:style w:type="paragraph" w:styleId="Style32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33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34">
    <w:name w:val="Header"/>
    <w:basedOn w:val="Style28"/>
    <w:pPr>
      <w:suppressLineNumbers/>
      <w:tabs>
        <w:tab w:val="clear" w:pos="4702"/>
        <w:tab w:val="clear" w:pos="9405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3717</TotalTime>
  <Application>LibreOffice/6.3.2.2$Windows_X86_64 LibreOffice_project/98b30e735bda24bc04ab42594c85f7fd8be07b9c</Application>
  <Pages>12</Pages>
  <Words>2373</Words>
  <Characters>15710</Characters>
  <CharactersWithSpaces>18183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2020-11-05T15:11:16Z</dcterms:created>
  <dc:creator/>
  <dc:description/>
  <dc:language>uk-UA</dc:language>
  <cp:lastModifiedBy/>
  <cp:lastPrinted>2021-10-04T15:43:58Z</cp:lastPrinted>
  <dcterms:modified xsi:type="dcterms:W3CDTF">2021-10-06T15:20:33Z</dcterms:modified>
  <cp:revision>430</cp:revision>
  <dc:subject/>
  <dc:title/>
</cp:coreProperties>
</file>